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387"/>
        <w:spacing w:before="0"/>
        <w:widowControl w:val="off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          «УТВЕРЖДАЮ»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5387"/>
        <w:spacing w:before="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Председател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ь закупочной комиссии 1-го уровня –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Заместитель Генерального директора по управлению ресурсами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АО «ДГК»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5103"/>
        <w:spacing w:before="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5103" w:firstLine="284"/>
        <w:spacing w:before="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Д.А.Богонатов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387"/>
        <w:spacing w:before="0" w:line="276" w:lineRule="auto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«__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_»_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 2026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387"/>
        <w:spacing w:before="0"/>
        <w:widowControl w:val="o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widowControl w:val="off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before="480" w:after="360"/>
        <w:rPr>
          <w:rFonts w:ascii="Times New Roman" w:hAnsi="Times New Roman" w:cs="Times New Roman"/>
          <w:b/>
          <w:sz w:val="24"/>
          <w:szCs w:val="24"/>
        </w:rPr>
        <w:outlineLvl w:val="4"/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Документация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о закупке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КОНКУРС В ЭЛЕКТРОННОЙ ФОРМЕ, УЧАСТНИКАМИ КОТОРОГО МОГУТ БЫТЬ ТОЛЬКО СУБЪЕКТЫ МСП, НА ПРАВО ЗАКЛЮЧЕНИЯ ДОГОВОРА НА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ОКПД2 42.21.22.120 Выполнение работ по капитальному ремонту разводящих тепловых сетей г. Артем, Приморский край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»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Лот №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11037008-РЕМ ПРОД-2026-ДГК-ПТС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87"/>
        <w:jc w:val="center"/>
        <w:keepNext/>
        <w:spacing w:before="2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jc w:val="center"/>
        <w:keepNext/>
        <w:spacing w:before="2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rPr>
          <w:rFonts w:ascii="Times New Roman" w:hAnsi="Times New Roman" w:cs="Times New Roman"/>
          <w:sz w:val="22"/>
          <w:szCs w:val="22"/>
        </w:rPr>
        <w:sectPr>
          <w:footerReference w:type="default" r:id="rId10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6"/>
        <w:rPr>
          <w:rFonts w:ascii="Times New Roman" w:hAnsi="Times New Roman" w:cs="Times New Roman"/>
          <w:sz w:val="22"/>
          <w:szCs w:val="22"/>
        </w:rPr>
        <w:outlineLvl w:val="2"/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Содержание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200"/>
        <w:tabs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TOC \o "1-2" \h \z \u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</w:r>
      <w:hyperlink w:tooltip="#_Toc1" w:anchor="_Toc1" w:history="1"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Сокращения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_Toc1 \h</w:instrText>
          <w:fldChar w:fldCharType="separate"/>
          <w:t xml:space="preserve">6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200"/>
        <w:tabs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2" w:anchor="_Toc2" w:history="1"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Термины и определения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_Toc2 \h</w:instrText>
          <w:fldChar w:fldCharType="separate"/>
          <w:t xml:space="preserve">8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200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3" w:anchor="_Toc3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1.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Основные сведения о закупке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_Toc3 \h</w:instrText>
          <w:fldChar w:fldCharType="separate"/>
          <w:t xml:space="preserve">12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4" w:anchor="_Toc4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1.1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Статус настоящего раздела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_Toc4 \h</w:instrText>
          <w:fldChar w:fldCharType="separate"/>
          <w:t xml:space="preserve">12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5" w:anchor="_Toc5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1.2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Информация о проводимой закупке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_Toc5 \h</w:instrText>
          <w:fldChar w:fldCharType="separate"/>
          <w:t xml:space="preserve">12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200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6" w:anchor="_Toc6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2.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Общие положения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_Toc6 \h</w:instrText>
          <w:fldChar w:fldCharType="separate"/>
          <w:t xml:space="preserve">19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7" w:anchor="_Toc7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2.1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Общие сведения о закупке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_Toc7 \h</w:instrText>
          <w:fldChar w:fldCharType="separate"/>
          <w:t xml:space="preserve">19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8" w:anchor="_Toc8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2.2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Правовой статус документов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_Toc8 \h</w:instrText>
          <w:fldChar w:fldCharType="separate"/>
          <w:t xml:space="preserve">19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9" w:anchor="_Toc9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2.3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Обжалование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_Toc9 \h</w:instrText>
          <w:fldChar w:fldCharType="separate"/>
          <w:t xml:space="preserve">20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10" w:anchor="_Toc10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2.4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Особые положения при проведении закупки с использованием ЭП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_Toc10 \h</w:instrText>
          <w:fldChar w:fldCharType="separate"/>
          <w:t xml:space="preserve">21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11" w:anchor="_Toc11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2.5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Прочие положения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_Toc11 \h</w:instrText>
          <w:fldChar w:fldCharType="separate"/>
          <w:t xml:space="preserve">21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200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12" w:anchor="_Toc12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3.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Требования к 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У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частникам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_Toc12 \h</w:instrText>
          <w:fldChar w:fldCharType="separate"/>
          <w:t xml:space="preserve">22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13" w:anchor="_Toc13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3.1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Общие требования к Участникам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_Toc13 \h</w:instrText>
          <w:fldChar w:fldCharType="separate"/>
          <w:t xml:space="preserve">22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14" w:anchor="_Toc14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3.2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Коллективные участники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_Toc14 \h</w:instrText>
          <w:fldChar w:fldCharType="separate"/>
          <w:t xml:space="preserve">22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15" w:anchor="_Toc15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3.3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Генеральные подрядчики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_Toc15 \h</w:instrText>
          <w:fldChar w:fldCharType="separate"/>
          <w:t xml:space="preserve">24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200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16" w:anchor="_Toc16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4.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Порядок проведения закупки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_Toc16 \h</w:instrText>
          <w:fldChar w:fldCharType="separate"/>
          <w:t xml:space="preserve">26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17" w:anchor="_Toc17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4.1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Общий порядок проведения закупки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_Toc17 \h</w:instrText>
          <w:fldChar w:fldCharType="separate"/>
          <w:t xml:space="preserve">26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18" w:anchor="_Toc18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4.2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Официальное размещение Извещения и Документации о закупке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_Toc18 \h</w:instrText>
          <w:fldChar w:fldCharType="separate"/>
          <w:t xml:space="preserve">28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19" w:anchor="_Toc19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4.3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Подготовка заявки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_Toc19 \h</w:instrText>
          <w:fldChar w:fldCharType="separate"/>
          <w:t xml:space="preserve">28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20" w:anchor="_Toc20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4.4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Разъяснение Документации о закупке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_Toc20 \h</w:instrText>
          <w:fldChar w:fldCharType="separate"/>
          <w:t xml:space="preserve">31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21" w:anchor="_Toc21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4.5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Изменения 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Извещени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я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 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и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 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(или)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 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Документаци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и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 о закупке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_Toc21 \h</w:instrText>
          <w:fldChar w:fldCharType="separate"/>
          <w:t xml:space="preserve">31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22" w:anchor="_Toc22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4.6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Подача заявок и их прием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_Toc22 \h</w:instrText>
          <w:fldChar w:fldCharType="separate"/>
          <w:t xml:space="preserve">32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23" w:anchor="_Toc23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4.7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Изменение и отзыв заявок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_Toc23 \h</w:instrText>
          <w:fldChar w:fldCharType="separate"/>
          <w:t xml:space="preserve">33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24" w:anchor="_Toc24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4.8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Открытие доступа к первым частям заявок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_Toc24 \h</w:instrText>
          <w:fldChar w:fldCharType="separate"/>
          <w:t xml:space="preserve">33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25" w:anchor="_Toc25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4.9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Рассмотрение 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первых частей 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заявок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 / окончательных предложений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 (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отборочная стадия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)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_Toc25 \h</w:instrText>
          <w:fldChar w:fldCharType="separate"/>
          <w:t xml:space="preserve">33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850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26" w:anchor="_Toc26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4.10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Открытие доступа ко вторым частям заявок и ценовым предложениям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_Toc26 \h</w:instrText>
          <w:fldChar w:fldCharType="separate"/>
          <w:t xml:space="preserve">35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850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27" w:anchor="_Toc27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4.11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Рассмотрение вторых частей заявок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 (отборочная стадия)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, в том числе (при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 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необходимости) проведение аккредитации,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 и ценовых предложений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_Toc27 \h</w:instrText>
          <w:fldChar w:fldCharType="separate"/>
          <w:t xml:space="preserve">35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850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28" w:anchor="_Toc28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4.12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Дополнительные запросы разъяснений заявок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_Toc28 \h</w:instrText>
          <w:fldChar w:fldCharType="separate"/>
          <w:t xml:space="preserve">37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850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29" w:anchor="_Toc29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4.13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Оценка и сопоставление заявок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_Toc29 \h</w:instrText>
          <w:fldChar w:fldCharType="separate"/>
          <w:t xml:space="preserve">38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850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30" w:anchor="_Toc30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4.14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Применение 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законодательства о национальном режиме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_Toc30 \h</w:instrText>
          <w:fldChar w:fldCharType="separate"/>
          <w:t xml:space="preserve">39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850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31" w:anchor="_Toc31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4.15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одведение итогов закупки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 (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пределение Победителя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)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_Toc31 \h</w:instrText>
          <w:fldChar w:fldCharType="separate"/>
          <w:t xml:space="preserve">39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850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32" w:anchor="_Toc32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4.16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Признание закупки несостоявшейся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_Toc32 \h</w:instrText>
          <w:fldChar w:fldCharType="separate"/>
          <w:t xml:space="preserve">41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850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33" w:anchor="_Toc33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4.17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Отказ от проведения закупки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 (отмена закупки)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_Toc33 \h</w:instrText>
          <w:fldChar w:fldCharType="separate"/>
          <w:t xml:space="preserve">42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850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34" w:anchor="_Toc34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4.18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Особенности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 проведения закупки с необходимостью обеспечения заявки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_Toc34 \h</w:instrText>
          <w:fldChar w:fldCharType="separate"/>
          <w:t xml:space="preserve">42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850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35" w:anchor="_Toc35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4.19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Особенности проведения м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ноголотов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ой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 закупк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и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_Toc35 \h</w:instrText>
          <w:fldChar w:fldCharType="separate"/>
          <w:t xml:space="preserve">46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200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36" w:anchor="_Toc36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5.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орядок заключения 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Д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оговора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_Toc36 \h</w:instrText>
          <w:fldChar w:fldCharType="separate"/>
          <w:t xml:space="preserve">47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37" w:anchor="_Toc37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5.1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Общие положения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_Toc37 \h</w:instrText>
          <w:fldChar w:fldCharType="separate"/>
          <w:t xml:space="preserve">47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38" w:anchor="_Toc38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5.2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Заключение Договора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_Toc38 \h</w:instrText>
          <w:fldChar w:fldCharType="separate"/>
          <w:t xml:space="preserve">47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39" w:anchor="_Toc39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5.3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Уклонение Победителя от заключения Договора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_Toc39 \h</w:instrText>
          <w:fldChar w:fldCharType="separate"/>
          <w:t xml:space="preserve">49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200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40" w:anchor="_Toc40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6.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Приложение № 1 – Технические требования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_Toc40 \h</w:instrText>
          <w:fldChar w:fldCharType="separate"/>
          <w:t xml:space="preserve">51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41" w:anchor="_Toc41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6.1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Пояснения к Техническим требованиям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_Toc41 \h</w:instrText>
          <w:fldChar w:fldCharType="separate"/>
          <w:t xml:space="preserve">51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200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42" w:anchor="_Toc42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7.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Приложение № 2 – Проект договора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_Toc42 \h</w:instrText>
          <w:fldChar w:fldCharType="separate"/>
          <w:t xml:space="preserve">52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43" w:anchor="_Toc43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7.1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Пояснения к 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роекту договора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_Toc43 \h</w:instrText>
          <w:fldChar w:fldCharType="separate"/>
          <w:t xml:space="preserve">52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200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44" w:anchor="_Toc44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8.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Приложение №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 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3 – Требования к 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У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частникам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_Toc44 \h</w:instrText>
          <w:fldChar w:fldCharType="separate"/>
          <w:t xml:space="preserve">53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45" w:anchor="_Toc45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8.1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Пояснения к 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требованиям к 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У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частникам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_Toc45 \h</w:instrText>
          <w:fldChar w:fldCharType="separate"/>
          <w:t xml:space="preserve">53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46" w:anchor="_Toc46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8.2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Обязательные требования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_Toc46 \h</w:instrText>
          <w:fldChar w:fldCharType="separate"/>
          <w:t xml:space="preserve">53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47" w:anchor="_Toc47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8.3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Специальные требования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_Toc47 \h</w:instrText>
          <w:fldChar w:fldCharType="separate"/>
          <w:t xml:space="preserve">56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48" w:anchor="_Toc48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8.4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Дополнительные т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ребования к Коллективным участникам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_Toc48 \h</w:instrText>
          <w:fldChar w:fldCharType="separate"/>
          <w:t xml:space="preserve">56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49" w:anchor="_Toc49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8.5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Дополнительные т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ребования к Генеральным подрядчикам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_Toc49 \h</w:instrText>
          <w:fldChar w:fldCharType="separate"/>
          <w:t xml:space="preserve">57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200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50" w:anchor="_Toc50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9.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Приложение № 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4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 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– 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Образцы форм документов, включаемых в состав заявки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_Toc50 \h</w:instrText>
          <w:fldChar w:fldCharType="separate"/>
          <w:t xml:space="preserve">59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51" w:anchor="_Toc51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9.1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Пояснения к Образца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м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 форм документов, включаемых в состав заявки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_Toc51 \h</w:instrText>
          <w:fldChar w:fldCharType="separate"/>
          <w:t xml:space="preserve">59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200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52" w:anchor="_Toc52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10.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Приложение № 5 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– 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Образцы форм документов, предоставляемых Победителем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_Toc52 \h</w:instrText>
          <w:fldChar w:fldCharType="separate"/>
          <w:t xml:space="preserve">60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850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53" w:anchor="_Toc53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10.1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Пояснения к Образцам форм документов, предоставляемых Победителем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_Toc53 \h</w:instrText>
          <w:fldChar w:fldCharType="separate"/>
          <w:t xml:space="preserve">60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850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54" w:anchor="_Toc54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10.2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Форма справки «Сведения о цепочке собственников, включая бенефициаров (в том числе конечных)»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_Toc54 \h</w:instrText>
          <w:fldChar w:fldCharType="separate"/>
          <w:t xml:space="preserve">60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850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55" w:anchor="_Toc55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10.3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Форма «Заверение об обстоятельствах»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_Toc55 \h</w:instrText>
          <w:fldChar w:fldCharType="separate"/>
          <w:t xml:space="preserve">60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200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56" w:anchor="_Toc56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11.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Приложение №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 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6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 – Состав заявки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_Toc56 \h</w:instrText>
          <w:fldChar w:fldCharType="separate"/>
          <w:t xml:space="preserve">62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850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57" w:anchor="_Toc57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11.1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Состав заявки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_Toc57 \h</w:instrText>
          <w:fldChar w:fldCharType="separate"/>
          <w:t xml:space="preserve">62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200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58" w:anchor="_Toc58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12.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Приложение №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 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7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 – Отборочные критерии рассмотрения заявок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_Toc58 \h</w:instrText>
          <w:fldChar w:fldCharType="separate"/>
          <w:t xml:space="preserve">65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850" w:leader="none"/>
          <w:tab w:val="right" w:pos="9923" w:leader="none"/>
        </w:tabs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pPr>
      <w:r>
        <w:rPr>
          <w:sz w:val="22"/>
          <w:szCs w:val="22"/>
        </w:rPr>
      </w:r>
      <w:hyperlink w:tooltip="#_Toc59" w:anchor="_Toc59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12.1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i w:val="0"/>
            <w:iCs w:val="0"/>
            <w:sz w:val="22"/>
            <w:szCs w:val="22"/>
            <w:shd w:val="clear" w:color="auto" w:fill="auto"/>
          </w:rPr>
          <w:t xml:space="preserve">Отборочные критерии рассмотрения </w:t>
        </w:r>
        <w:r>
          <w:rPr>
            <w:rStyle w:val="1197"/>
            <w:rFonts w:ascii="Times New Roman" w:hAnsi="Times New Roman" w:eastAsia="Times New Roman" w:cs="Times New Roman"/>
            <w:i w:val="0"/>
            <w:iCs w:val="0"/>
            <w:sz w:val="22"/>
            <w:szCs w:val="22"/>
            <w:shd w:val="clear" w:color="auto" w:fill="auto"/>
          </w:rPr>
          <w:t xml:space="preserve">первых частей </w:t>
        </w:r>
        <w:r>
          <w:rPr>
            <w:rStyle w:val="1197"/>
            <w:rFonts w:ascii="Times New Roman" w:hAnsi="Times New Roman" w:eastAsia="Times New Roman" w:cs="Times New Roman"/>
            <w:i w:val="0"/>
            <w:iCs w:val="0"/>
            <w:sz w:val="22"/>
            <w:szCs w:val="22"/>
            <w:shd w:val="clear" w:color="auto" w:fill="auto"/>
          </w:rPr>
          <w:t xml:space="preserve">заявок</w:t>
        </w:r>
        <w:r>
          <w:rPr>
            <w:rStyle w:val="1197"/>
            <w:rFonts w:ascii="Times New Roman" w:hAnsi="Times New Roman" w:eastAsia="Times New Roman" w:cs="Times New Roman"/>
            <w:i w:val="0"/>
            <w:iCs w:val="0"/>
            <w:sz w:val="22"/>
            <w:szCs w:val="22"/>
            <w:shd w:val="clear" w:color="auto" w:fill="auto"/>
          </w:rPr>
          <w:t xml:space="preserve"> (первых частей заявок, содержащихся в окончательных предложениях)</w:t>
        </w:r>
        <w:r>
          <w:rPr>
            <w:rStyle w:val="1197"/>
            <w:rFonts w:ascii="Times New Roman" w:hAnsi="Times New Roman" w:eastAsia="Times New Roman" w:cs="Times New Roman"/>
            <w:i w:val="0"/>
            <w:iCs w:val="0"/>
            <w:sz w:val="22"/>
            <w:szCs w:val="22"/>
            <w:shd w:val="clear" w:color="auto" w:fill="auto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_Toc59 \h</w:instrText>
          <w:fldChar w:fldCharType="separate"/>
          <w:t xml:space="preserve">65</w:t>
          <w:fldChar w:fldCharType="end"/>
        </w:r>
      </w:hyperlink>
      <w:r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r>
      <w:r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r>
    </w:p>
    <w:p>
      <w:pPr>
        <w:pStyle w:val="1199"/>
        <w:tabs>
          <w:tab w:val="left" w:pos="850" w:leader="none"/>
          <w:tab w:val="right" w:pos="9923" w:leader="none"/>
        </w:tabs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pPr>
      <w:r>
        <w:rPr>
          <w:sz w:val="22"/>
          <w:szCs w:val="22"/>
        </w:rPr>
      </w:r>
      <w:hyperlink w:tooltip="#_Toc60" w:anchor="_Toc60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12.2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i w:val="0"/>
            <w:iCs w:val="0"/>
            <w:sz w:val="22"/>
            <w:szCs w:val="22"/>
            <w:shd w:val="clear" w:color="auto" w:fill="auto"/>
          </w:rPr>
          <w:t xml:space="preserve">Отборочные критерии рассмотрения вторых частей заявок</w:t>
        </w:r>
        <w:r>
          <w:rPr>
            <w:rStyle w:val="1197"/>
            <w:rFonts w:ascii="Times New Roman" w:hAnsi="Times New Roman" w:eastAsia="Times New Roman" w:cs="Times New Roman"/>
            <w:i w:val="0"/>
            <w:iCs w:val="0"/>
            <w:sz w:val="22"/>
            <w:szCs w:val="22"/>
            <w:shd w:val="clear" w:color="auto" w:fill="auto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_Toc60 \h</w:instrText>
          <w:fldChar w:fldCharType="separate"/>
          <w:t xml:space="preserve">66</w:t>
          <w:fldChar w:fldCharType="end"/>
        </w:r>
      </w:hyperlink>
      <w:r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r>
      <w:r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r>
    </w:p>
    <w:p>
      <w:pPr>
        <w:pStyle w:val="1199"/>
        <w:tabs>
          <w:tab w:val="left" w:pos="850" w:leader="none"/>
          <w:tab w:val="right" w:pos="9923" w:leader="none"/>
        </w:tabs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pPr>
      <w:r>
        <w:rPr>
          <w:sz w:val="22"/>
          <w:szCs w:val="22"/>
        </w:rPr>
      </w:r>
      <w:hyperlink w:tooltip="#_Toc61" w:anchor="_Toc61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12.3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i w:val="0"/>
            <w:iCs w:val="0"/>
            <w:sz w:val="22"/>
            <w:szCs w:val="22"/>
            <w:shd w:val="clear" w:color="auto" w:fill="auto"/>
          </w:rPr>
          <w:t xml:space="preserve">Отборочные критерии рассмотрения ценовых предложений (дополнительных ценовых предложений)</w:t>
        </w:r>
        <w:r>
          <w:rPr>
            <w:rStyle w:val="1197"/>
            <w:rFonts w:ascii="Times New Roman" w:hAnsi="Times New Roman" w:eastAsia="Times New Roman" w:cs="Times New Roman"/>
            <w:i w:val="0"/>
            <w:iCs w:val="0"/>
            <w:sz w:val="22"/>
            <w:szCs w:val="22"/>
            <w:shd w:val="clear" w:color="auto" w:fill="auto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_Toc61 \h</w:instrText>
          <w:fldChar w:fldCharType="separate"/>
          <w:t xml:space="preserve">69</w:t>
          <w:fldChar w:fldCharType="end"/>
        </w:r>
      </w:hyperlink>
      <w:r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r>
      <w:r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r>
    </w:p>
    <w:p>
      <w:pPr>
        <w:pStyle w:val="1199"/>
        <w:tabs>
          <w:tab w:val="left" w:pos="850" w:leader="none"/>
          <w:tab w:val="right" w:pos="9923" w:leader="none"/>
        </w:tabs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pPr>
      <w:r>
        <w:rPr>
          <w:sz w:val="22"/>
          <w:szCs w:val="22"/>
        </w:rPr>
      </w:r>
      <w:hyperlink w:tooltip="#_Toc62" w:anchor="_Toc62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12.4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i w:val="0"/>
            <w:iCs w:val="0"/>
            <w:sz w:val="22"/>
            <w:szCs w:val="22"/>
            <w:shd w:val="clear" w:color="auto" w:fill="auto"/>
          </w:rPr>
          <w:t xml:space="preserve">Дополнительные</w:t>
        </w:r>
        <w:r>
          <w:rPr>
            <w:rStyle w:val="1197"/>
            <w:rFonts w:ascii="Times New Roman" w:hAnsi="Times New Roman" w:eastAsia="Times New Roman" w:cs="Times New Roman"/>
            <w:i w:val="0"/>
            <w:iCs w:val="0"/>
            <w:sz w:val="22"/>
            <w:szCs w:val="22"/>
            <w:shd w:val="clear" w:color="auto" w:fill="auto"/>
          </w:rPr>
          <w:t xml:space="preserve"> критерии проверки заяв</w:t>
        </w:r>
        <w:r>
          <w:rPr>
            <w:rStyle w:val="1197"/>
            <w:rFonts w:ascii="Times New Roman" w:hAnsi="Times New Roman" w:eastAsia="Times New Roman" w:cs="Times New Roman"/>
            <w:i w:val="0"/>
            <w:iCs w:val="0"/>
            <w:sz w:val="22"/>
            <w:szCs w:val="22"/>
            <w:shd w:val="clear" w:color="auto" w:fill="auto"/>
          </w:rPr>
          <w:t xml:space="preserve">ок</w:t>
        </w:r>
        <w:r>
          <w:rPr>
            <w:rStyle w:val="1197"/>
            <w:rFonts w:ascii="Times New Roman" w:hAnsi="Times New Roman" w:eastAsia="Times New Roman" w:cs="Times New Roman"/>
            <w:i w:val="0"/>
            <w:iCs w:val="0"/>
            <w:sz w:val="22"/>
            <w:szCs w:val="22"/>
            <w:shd w:val="clear" w:color="auto" w:fill="auto"/>
          </w:rPr>
          <w:t xml:space="preserve"> на соответстви</w:t>
        </w:r>
        <w:r>
          <w:rPr>
            <w:rStyle w:val="1197"/>
            <w:rFonts w:ascii="Times New Roman" w:hAnsi="Times New Roman" w:eastAsia="Times New Roman" w:cs="Times New Roman"/>
            <w:i w:val="0"/>
            <w:iCs w:val="0"/>
            <w:sz w:val="22"/>
            <w:szCs w:val="22"/>
            <w:shd w:val="clear" w:color="auto" w:fill="auto"/>
          </w:rPr>
          <w:t xml:space="preserve">е</w:t>
        </w:r>
        <w:r>
          <w:rPr>
            <w:rStyle w:val="1197"/>
            <w:rFonts w:ascii="Times New Roman" w:hAnsi="Times New Roman" w:eastAsia="Times New Roman" w:cs="Times New Roman"/>
            <w:i w:val="0"/>
            <w:iCs w:val="0"/>
            <w:sz w:val="22"/>
            <w:szCs w:val="22"/>
            <w:shd w:val="clear" w:color="auto" w:fill="auto"/>
          </w:rPr>
          <w:t xml:space="preserve"> условиям Документации о закупке</w:t>
        </w:r>
        <w:r>
          <w:rPr>
            <w:rStyle w:val="1197"/>
            <w:rFonts w:ascii="Times New Roman" w:hAnsi="Times New Roman" w:eastAsia="Times New Roman" w:cs="Times New Roman"/>
            <w:i w:val="0"/>
            <w:iCs w:val="0"/>
            <w:sz w:val="22"/>
            <w:szCs w:val="22"/>
            <w:shd w:val="clear" w:color="auto" w:fill="auto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_Toc62 \h</w:instrText>
          <w:fldChar w:fldCharType="separate"/>
          <w:t xml:space="preserve">70</w:t>
          <w:fldChar w:fldCharType="end"/>
        </w:r>
      </w:hyperlink>
      <w:r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r>
      <w:r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r>
    </w:p>
    <w:p>
      <w:pPr>
        <w:pStyle w:val="1200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63" w:anchor="_Toc63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13.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Приложение №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 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8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 – Порядок и критерии оценки и сопоставления заявок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_Toc63 \h</w:instrText>
          <w:fldChar w:fldCharType="separate"/>
          <w:t xml:space="preserve">73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850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64" w:anchor="_Toc64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13.1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Порядок и критерии оценки и сопоставления заявок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_Toc64 \h</w:instrText>
          <w:fldChar w:fldCharType="separate"/>
          <w:t xml:space="preserve">73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200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65" w:anchor="_Toc65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14.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Приложение № 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9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 – Обоснование НМЦ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_Toc65 \h</w:instrText>
          <w:fldChar w:fldCharType="separate"/>
          <w:t xml:space="preserve">75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850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66" w:anchor="_Toc66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14.1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Пояснения к Обоснованию НМЦ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_Toc66 \h</w:instrText>
          <w:fldChar w:fldCharType="separate"/>
          <w:t xml:space="preserve">75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200"/>
        <w:tabs>
          <w:tab w:val="left" w:pos="567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67" w:anchor="_Toc67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15.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Приложение № 1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0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 – Форма Заявки на аккредитацию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_Toc67 \h</w:instrText>
          <w:fldChar w:fldCharType="separate"/>
          <w:t xml:space="preserve">76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99"/>
        <w:tabs>
          <w:tab w:val="left" w:pos="850" w:leader="none"/>
          <w:tab w:val="right" w:pos="9923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</w:r>
      <w:hyperlink w:tooltip="#_Toc68" w:anchor="_Toc68" w:history="1">
        <w:r>
          <w:rPr>
            <w:rFonts w:ascii="Times New Roman" w:hAnsi="Times New Roman" w:eastAsia="Times New Roman" w:cs="Times New Roman" w:eastAsiaTheme="minorHAnsi"/>
            <w:sz w:val="22"/>
            <w:szCs w:val="22"/>
          </w:rPr>
          <w:t xml:space="preserve">15.1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  <w:t xml:space="preserve">Пояснения к форме Заявки на аккредитацию</w:t>
        </w:r>
        <w:r>
          <w:rPr>
            <w:rStyle w:val="1197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_Toc68 \h</w:instrText>
          <w:fldChar w:fldCharType="separate"/>
          <w:t xml:space="preserve">76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keepNext/>
        <w:spacing w:before="60"/>
        <w:rPr>
          <w:rStyle w:val="1218"/>
          <w:rFonts w:ascii="Times New Roman" w:hAnsi="Times New Roman" w:cs="Times New Roman"/>
          <w:sz w:val="22"/>
          <w:szCs w:val="22"/>
        </w:rPr>
      </w:pPr>
      <w:r>
        <w:rPr>
          <w:rStyle w:val="1218"/>
          <w:rFonts w:ascii="Times New Roman" w:hAnsi="Times New Roman" w:eastAsia="Times New Roman" w:cs="Times New Roman"/>
          <w:sz w:val="22"/>
          <w:szCs w:val="22"/>
        </w:rPr>
        <w:t xml:space="preserve">[Примечание (дополнительные удобства работы с Документацией о закупке; </w:t>
      </w:r>
      <w:r>
        <w:rPr>
          <w:rStyle w:val="1218"/>
          <w:rFonts w:ascii="Times New Roman" w:hAnsi="Times New Roman" w:eastAsia="Times New Roman" w:cs="Times New Roman"/>
          <w:sz w:val="22"/>
          <w:szCs w:val="22"/>
        </w:rPr>
        <w:t xml:space="preserve">Microsoft Word | </w:t>
      </w:r>
      <w:r>
        <w:rPr>
          <w:rStyle w:val="1218"/>
          <w:rFonts w:ascii="Times New Roman" w:hAnsi="Times New Roman" w:eastAsia="Times New Roman" w:cs="Times New Roman"/>
          <w:color w:val="4472c4" w:themeColor="accent1"/>
          <w:sz w:val="22"/>
          <w:szCs w:val="22"/>
        </w:rPr>
        <w:t xml:space="preserve">AlterOffice AText – отмечены отличая для данного текстового редактора</w:t>
      </w:r>
      <w:r>
        <w:rPr>
          <w:rStyle w:val="1218"/>
          <w:rFonts w:ascii="Times New Roman" w:hAnsi="Times New Roman" w:eastAsia="Times New Roman" w:cs="Times New Roman"/>
          <w:sz w:val="22"/>
          <w:szCs w:val="22"/>
        </w:rPr>
        <w:t xml:space="preserve">):</w:t>
      </w:r>
      <w:r>
        <w:rPr>
          <w:rStyle w:val="1218"/>
          <w:rFonts w:ascii="Times New Roman" w:hAnsi="Times New Roman" w:cs="Times New Roman"/>
          <w:sz w:val="22"/>
          <w:szCs w:val="22"/>
        </w:rPr>
      </w:r>
      <w:r>
        <w:rPr>
          <w:rStyle w:val="1218"/>
          <w:rFonts w:ascii="Times New Roman" w:hAnsi="Times New Roman" w:cs="Times New Roman"/>
          <w:sz w:val="22"/>
          <w:szCs w:val="22"/>
        </w:rPr>
      </w:r>
    </w:p>
    <w:p>
      <w:pPr>
        <w:pStyle w:val="1187"/>
        <w:numPr>
          <w:ilvl w:val="0"/>
          <w:numId w:val="13"/>
        </w:numPr>
        <w:ind w:left="284" w:hanging="284"/>
        <w:spacing w:before="60"/>
        <w:rPr>
          <w:rStyle w:val="1218"/>
          <w:rFonts w:ascii="Times New Roman" w:hAnsi="Times New Roman" w:cs="Times New Roman"/>
          <w:sz w:val="22"/>
          <w:szCs w:val="22"/>
        </w:rPr>
      </w:pPr>
      <w:r>
        <w:rPr>
          <w:rStyle w:val="1218"/>
          <w:rFonts w:ascii="Times New Roman" w:hAnsi="Times New Roman" w:eastAsia="Times New Roman" w:cs="Times New Roman"/>
          <w:sz w:val="22"/>
          <w:szCs w:val="22"/>
        </w:rPr>
        <w:t xml:space="preserve">для навигации рекомендуется использовать боковое меню – включается на вкладке «Вид» в разделе «Отображение» опцией «Область навигации»</w:t>
      </w:r>
      <w:r>
        <w:rPr>
          <w:rStyle w:val="1218"/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Style w:val="1218"/>
          <w:rFonts w:ascii="Times New Roman" w:hAnsi="Times New Roman" w:eastAsia="Times New Roman" w:cs="Times New Roman"/>
          <w:sz w:val="22"/>
          <w:szCs w:val="22"/>
        </w:rPr>
        <w:t xml:space="preserve">| </w:t>
      </w:r>
      <w:r>
        <w:rPr>
          <w:rStyle w:val="1218"/>
          <w:rFonts w:ascii="Times New Roman" w:hAnsi="Times New Roman" w:eastAsia="Times New Roman" w:cs="Times New Roman"/>
          <w:color w:val="4472c4" w:themeColor="accent1"/>
          <w:sz w:val="22"/>
          <w:szCs w:val="22"/>
        </w:rPr>
        <w:t xml:space="preserve">включается на вкладке «Вид» опцией «Навигатор»</w:t>
      </w:r>
      <w:r>
        <w:rPr>
          <w:rStyle w:val="1218"/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Style w:val="1218"/>
          <w:rFonts w:ascii="Times New Roman" w:hAnsi="Times New Roman" w:cs="Times New Roman"/>
          <w:sz w:val="22"/>
          <w:szCs w:val="22"/>
        </w:rPr>
      </w:r>
      <w:r>
        <w:rPr>
          <w:rStyle w:val="1218"/>
          <w:rFonts w:ascii="Times New Roman" w:hAnsi="Times New Roman" w:cs="Times New Roman"/>
          <w:sz w:val="22"/>
          <w:szCs w:val="22"/>
        </w:rPr>
      </w:r>
    </w:p>
    <w:p>
      <w:pPr>
        <w:pStyle w:val="1187"/>
        <w:numPr>
          <w:ilvl w:val="0"/>
          <w:numId w:val="13"/>
        </w:numPr>
        <w:ind w:left="284" w:hanging="284"/>
        <w:spacing w:before="60"/>
        <w:rPr>
          <w:rStyle w:val="1218"/>
          <w:rFonts w:ascii="Times New Roman" w:hAnsi="Times New Roman" w:cs="Times New Roman"/>
          <w:sz w:val="22"/>
          <w:szCs w:val="22"/>
        </w:rPr>
      </w:pPr>
      <w:r>
        <w:rPr>
          <w:rStyle w:val="1218"/>
          <w:rFonts w:ascii="Times New Roman" w:hAnsi="Times New Roman" w:eastAsia="Times New Roman" w:cs="Times New Roman"/>
          <w:sz w:val="22"/>
          <w:szCs w:val="22"/>
        </w:rPr>
        <w:t xml:space="preserve">переход по перекрестным и другим ссылкам осуществляется левым кликом мыши с</w:t>
      </w:r>
      <w:r>
        <w:rPr>
          <w:rStyle w:val="1218"/>
          <w:rFonts w:ascii="Times New Roman" w:hAnsi="Times New Roman" w:eastAsia="Times New Roman" w:cs="Times New Roman"/>
          <w:sz w:val="22"/>
          <w:szCs w:val="22"/>
          <w:lang w:val="en-US"/>
        </w:rPr>
        <w:t xml:space="preserve"> </w:t>
      </w:r>
      <w:r>
        <w:rPr>
          <w:rStyle w:val="1218"/>
          <w:rFonts w:ascii="Times New Roman" w:hAnsi="Times New Roman" w:eastAsia="Times New Roman" w:cs="Times New Roman"/>
          <w:sz w:val="22"/>
          <w:szCs w:val="22"/>
        </w:rPr>
        <w:t xml:space="preserve">зажатой клавишей Ctrl, обратный возврат на место в тексте, с котор</w:t>
      </w:r>
      <w:r>
        <w:rPr>
          <w:rStyle w:val="1218"/>
          <w:rFonts w:ascii="Times New Roman" w:hAnsi="Times New Roman" w:eastAsia="Times New Roman" w:cs="Times New Roman"/>
          <w:sz w:val="22"/>
          <w:szCs w:val="22"/>
        </w:rPr>
        <w:t xml:space="preserve">ого</w:t>
      </w:r>
      <w:r>
        <w:rPr>
          <w:rStyle w:val="1218"/>
          <w:rFonts w:ascii="Times New Roman" w:hAnsi="Times New Roman" w:eastAsia="Times New Roman" w:cs="Times New Roman"/>
          <w:sz w:val="22"/>
          <w:szCs w:val="22"/>
        </w:rPr>
        <w:t xml:space="preserve"> был </w:t>
      </w:r>
      <w:r>
        <w:rPr>
          <w:rStyle w:val="1218"/>
          <w:rFonts w:ascii="Times New Roman" w:hAnsi="Times New Roman" w:eastAsia="Times New Roman" w:cs="Times New Roman"/>
          <w:sz w:val="22"/>
          <w:szCs w:val="22"/>
        </w:rPr>
        <w:t xml:space="preserve">сделан</w:t>
      </w:r>
      <w:r>
        <w:rPr>
          <w:rStyle w:val="1218"/>
          <w:rFonts w:ascii="Times New Roman" w:hAnsi="Times New Roman" w:eastAsia="Times New Roman" w:cs="Times New Roman"/>
          <w:sz w:val="22"/>
          <w:szCs w:val="22"/>
        </w:rPr>
        <w:t xml:space="preserve"> переход, осуществляется нажатием стрелки влево (←) с зажатой левой клавишей Alt</w:t>
      </w:r>
      <w:r>
        <w:rPr>
          <w:rStyle w:val="1218"/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Style w:val="1218"/>
          <w:rFonts w:ascii="Times New Roman" w:hAnsi="Times New Roman" w:eastAsia="Times New Roman" w:cs="Times New Roman"/>
          <w:color w:val="4472c4" w:themeColor="accent1"/>
          <w:sz w:val="22"/>
          <w:szCs w:val="22"/>
        </w:rPr>
        <w:t xml:space="preserve">(обратный переход функционально не реализован в AlterOffice AText, пользуйтесь функциональностью «Навигатор»)</w:t>
      </w:r>
      <w:r>
        <w:rPr>
          <w:rStyle w:val="1218"/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Style w:val="1218"/>
          <w:rFonts w:ascii="Times New Roman" w:hAnsi="Times New Roman" w:cs="Times New Roman"/>
          <w:sz w:val="22"/>
          <w:szCs w:val="22"/>
        </w:rPr>
      </w:r>
      <w:r>
        <w:rPr>
          <w:rStyle w:val="1218"/>
          <w:rFonts w:ascii="Times New Roman" w:hAnsi="Times New Roman" w:cs="Times New Roman"/>
          <w:sz w:val="22"/>
          <w:szCs w:val="22"/>
        </w:rPr>
      </w:r>
    </w:p>
    <w:p>
      <w:pPr>
        <w:pStyle w:val="1187"/>
        <w:numPr>
          <w:ilvl w:val="0"/>
          <w:numId w:val="13"/>
        </w:numPr>
        <w:ind w:left="284" w:hanging="284"/>
        <w:spacing w:before="60"/>
        <w:rPr>
          <w:rStyle w:val="1218"/>
          <w:rFonts w:ascii="Times New Roman" w:hAnsi="Times New Roman" w:cs="Times New Roman"/>
          <w:sz w:val="22"/>
          <w:szCs w:val="22"/>
        </w:rPr>
      </w:pPr>
      <w:r>
        <w:rPr>
          <w:rStyle w:val="1218"/>
          <w:rFonts w:ascii="Times New Roman" w:hAnsi="Times New Roman" w:eastAsia="Times New Roman" w:cs="Times New Roman"/>
          <w:sz w:val="22"/>
          <w:szCs w:val="22"/>
        </w:rPr>
        <w:t xml:space="preserve">открытие внедренного в текст документа (файла) осуществляется по двойному клику левой клавиши мыши по соответствующей иконк</w:t>
      </w:r>
      <w:r>
        <w:rPr>
          <w:rStyle w:val="1218"/>
          <w:rFonts w:ascii="Times New Roman" w:hAnsi="Times New Roman" w:eastAsia="Times New Roman" w:cs="Times New Roman"/>
          <w:sz w:val="22"/>
          <w:szCs w:val="22"/>
        </w:rPr>
        <w:t xml:space="preserve">е</w:t>
      </w:r>
      <w:r>
        <w:rPr>
          <w:rStyle w:val="1218"/>
          <w:rFonts w:ascii="Times New Roman" w:hAnsi="Times New Roman" w:eastAsia="Times New Roman" w:cs="Times New Roman"/>
          <w:sz w:val="22"/>
          <w:szCs w:val="22"/>
        </w:rPr>
        <w:t xml:space="preserve"> документа (файла) в</w:t>
      </w:r>
      <w:r>
        <w:rPr>
          <w:rStyle w:val="1218"/>
          <w:rFonts w:ascii="Times New Roman" w:hAnsi="Times New Roman" w:eastAsia="Times New Roman" w:cs="Times New Roman"/>
          <w:sz w:val="22"/>
          <w:szCs w:val="22"/>
          <w:lang w:val="en-US"/>
        </w:rPr>
        <w:t xml:space="preserve"> </w:t>
      </w:r>
      <w:r>
        <w:rPr>
          <w:rStyle w:val="1218"/>
          <w:rFonts w:ascii="Times New Roman" w:hAnsi="Times New Roman" w:eastAsia="Times New Roman" w:cs="Times New Roman"/>
          <w:sz w:val="22"/>
          <w:szCs w:val="22"/>
        </w:rPr>
        <w:t xml:space="preserve">тексте</w:t>
      </w:r>
      <w:r>
        <w:rPr>
          <w:rStyle w:val="1218"/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Style w:val="1218"/>
          <w:rFonts w:ascii="Times New Roman" w:hAnsi="Times New Roman" w:cs="Times New Roman"/>
          <w:sz w:val="22"/>
          <w:szCs w:val="22"/>
        </w:rPr>
      </w:r>
      <w:r>
        <w:rPr>
          <w:rStyle w:val="1218"/>
          <w:rFonts w:ascii="Times New Roman" w:hAnsi="Times New Roman" w:cs="Times New Roman"/>
          <w:sz w:val="22"/>
          <w:szCs w:val="22"/>
        </w:rPr>
      </w:r>
    </w:p>
    <w:p>
      <w:pPr>
        <w:pStyle w:val="1187"/>
        <w:numPr>
          <w:ilvl w:val="0"/>
          <w:numId w:val="13"/>
        </w:numPr>
        <w:ind w:left="284" w:hanging="284"/>
        <w:spacing w:before="60"/>
        <w:rPr>
          <w:rStyle w:val="1218"/>
          <w:rFonts w:ascii="Times New Roman" w:hAnsi="Times New Roman" w:cs="Times New Roman"/>
          <w:sz w:val="22"/>
          <w:szCs w:val="22"/>
        </w:rPr>
      </w:pPr>
      <w:r>
        <w:rPr>
          <w:rStyle w:val="1218"/>
          <w:rFonts w:ascii="Times New Roman" w:hAnsi="Times New Roman" w:eastAsia="Times New Roman" w:cs="Times New Roman"/>
          <w:color w:val="4472c4" w:themeColor="accent1"/>
          <w:sz w:val="22"/>
          <w:szCs w:val="22"/>
        </w:rPr>
        <w:t xml:space="preserve">отключение затенения серыми блоками по тексту объектов, в том числе некоторых неразрывных пробелов и перекрестных ссылок: Ctrl + F8 (только для AlterOffice AText)</w:t>
      </w:r>
      <w:r>
        <w:rPr>
          <w:rStyle w:val="1218"/>
          <w:rFonts w:ascii="Times New Roman" w:hAnsi="Times New Roman" w:eastAsia="Times New Roman" w:cs="Times New Roman"/>
          <w:sz w:val="22"/>
          <w:szCs w:val="22"/>
        </w:rPr>
        <w:t xml:space="preserve">.]</w:t>
      </w:r>
      <w:r>
        <w:rPr>
          <w:rStyle w:val="1218"/>
          <w:rFonts w:ascii="Times New Roman" w:hAnsi="Times New Roman" w:cs="Times New Roman"/>
          <w:sz w:val="22"/>
          <w:szCs w:val="22"/>
        </w:rPr>
      </w:r>
      <w:r>
        <w:rPr>
          <w:rStyle w:val="1218"/>
          <w:rFonts w:ascii="Times New Roman" w:hAnsi="Times New Roman" w:cs="Times New Roman"/>
          <w:sz w:val="22"/>
          <w:szCs w:val="22"/>
        </w:rPr>
      </w:r>
    </w:p>
    <w:p>
      <w:pPr>
        <w:pStyle w:val="1186"/>
        <w:rPr>
          <w:rFonts w:ascii="Times New Roman" w:hAnsi="Times New Roman" w:cs="Times New Roman"/>
          <w:sz w:val="22"/>
          <w:szCs w:val="22"/>
        </w:rPr>
        <w:outlineLvl w:val="0"/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384" w:name="_Toc1"/>
      <w:r>
        <w:rPr>
          <w:rFonts w:ascii="Times New Roman" w:hAnsi="Times New Roman" w:eastAsia="Times New Roman" w:cs="Times New Roman"/>
          <w:sz w:val="22"/>
          <w:szCs w:val="22"/>
        </w:rPr>
        <w:t xml:space="preserve">Сокращения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384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ГК РФ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Гражданской кодекс Российской Федерации.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Декларация ПИРААП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декларация о подтверждении использования при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изготовлении продукции российского алюминия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его полуфабрикатов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указанием их доли в общем объеме используемого алюминия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его полуфабрикатов в натуральном выражении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ЕГРИП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диный государственный реестр индивидуальных предпринимателей.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ЕГРЮЛ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диный государственный реестр юридических лиц.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ЕИС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диная информационная система в сфере закупок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Закон 44-ФЗ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Федеральный закон от 05.04.2013 №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Закон 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98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-ФЗ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Федеральный закон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от 29 июля 2004 года №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98-ФЗ «О коммерческой тайне»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Закон 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209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-ФЗ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Федеральны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закон от 24.07.2007 №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209-ФЗ «О развитии малого и среднего предпринимательства в Российской Федерации»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Закон 223-ФЗ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Федеральный закон от 18.07.2011 № 223-ФЗ «О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закупках товаров, работ, услуг отдельными видами юридических лиц».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Закон 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255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-ФЗ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Федеральны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закон от 14.07.2022 №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255-ФЗ «О контроле за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деятельностью лиц, находящихся под иностранным влиянием»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Закон 422-ФЗ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Федеральны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закон от 27.11.2018 №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422-ФЗ «О проведении эксперимента по установлению специального налогового режима «Налог 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профессиональный доход»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Законодательство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законодательство Российской Федерации (если в тексте настояще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й Документации о закупке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прямо не указано иное)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Извещение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звещение о проведении настоящей закупки.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ИНН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идентификационный номер налогоплательщика.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ИФНС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инспекция Федеральной налоговой службы Российской Федерации.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МТР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материально-технические ресурсы.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НДС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налог на добавленную стоимость.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НМЦ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начальная (максимальная) цена договора.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Оператор ЭП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оператор электронной площадки.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Официальный сайт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официальный сайт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диной информационной системы в сфере закупок, расположенный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сети Интернет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по </w:t>
      </w:r>
      <w:r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URL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-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адресу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https://zakupki.gov.ru/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Положение о закупке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Единое Положение о закупке продукции для нужд Группы РусГидро.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Положение об аккредитации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Единое Положение об аккредитации поставщиков продукции в Группе РусГидро, размещенное на Официальном сайте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составе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Положени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 закупке).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ПП 395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постановле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ние Правительства Российской Федерации от 18.03.2022 № 395 «Об особенностях доступа к информации, содержащейся в государственном информационном ресурсе бухгалтерской (финансовой) отчетности, и раскрытия консолидированной финансовой отчетности в 2022 году».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ПП 1352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постановление Правительства от 11.12.2014 № 1352 «Об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ПП 1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875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постановление Правительства от 23.12.2024 №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1875 «О мерах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Реестр МСП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единый реестр субъектов малого и среднего предпринимательства, ведение которого осуществляется в соответствии с Законом 209-ФЗ.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Стороны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Организатор, Заказчик и Участники, являющиеся сторонами данной закупки (при совместном упоминании).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Субъект МСП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субъект малого и среднего предпринимательства.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ЭП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электронная площадка.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6"/>
        <w:rPr>
          <w:rFonts w:ascii="Times New Roman" w:hAnsi="Times New Roman" w:cs="Times New Roman"/>
          <w:sz w:val="22"/>
          <w:szCs w:val="22"/>
        </w:rPr>
        <w:outlineLvl w:val="0"/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385" w:name="_Toc2"/>
      <w:r>
        <w:rPr>
          <w:rFonts w:ascii="Times New Roman" w:hAnsi="Times New Roman" w:eastAsia="Times New Roman" w:cs="Times New Roman"/>
          <w:sz w:val="22"/>
          <w:szCs w:val="22"/>
        </w:rPr>
        <w:t xml:space="preserve">Термины и определения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385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Аккредитация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процедура проверки заявителей (потенциальных поставщиков)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на соответствие требованиям в отношении их правоспособности, благонадежности и деловой репутации, с целью включения их в Реестр аккредитации для обеспечения (в этой части) допуска к участию в закупках, проводимых в Группе РусГидро. Аккредитация проводится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 целью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защиты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интересов Заказчика от действий недобросовестных лиц и неблагонадежных поставщиков продукции при проведении закупочных процедур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 выборе Победителя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 является проявлением коммерческой осмотрительности Заказчика при заключении договора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(-ов) по результатам закупки. Порядок проведения данной процедуры представлен в Положени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об аккредитации.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Актуализация статуса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(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аккредитации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процедура повторной проверки определенного (конкретного) ранее аккредитованного Поставщика на предмет соответствия его установленным критериям аккредитации (или наличия оснований,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которым прохождение аккредитации не требуется), с продлением срока действия его аккредитации в случае положительного результата такой проверки; при этом от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Поставщика (Участника) не требуется повторное заполнение Заявки на аккредитацию.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Вторая часть заявки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комплект докум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ентов, входящих в состав заявки и содержащих сведения об Участнике и информацию о его соответствии требованиям Документации о закупке, копии документов, подтверждающих соответствие поставляемой продукции, требованиям Документации о закупке, установленным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соответствии с законодательством (в случае установления таких требований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Документации о закупке), а также информацию и документы, необходимые для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осуществления оценки заявки в отношении Участника (в случае установления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Документации о закупке соответствующих критериев и порядка оценки) (без указания сведений о ценовом предложении Участника).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Генеральный подрядчик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подрядчик, привлекающий 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исполнению своих обязательств по договору с Заказчиком третьих лиц (субподрядчиков). Под генеральным подрядчиком и субподрядчиками понимаются соответственно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также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генеральный исполнитель и соисполнители, генеральный поставщик и субпоставщики, в зависимости от предмета закупки.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Документация о закупке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комплект документов, содержащий всю необходимую согласно законодательству информацию о закупке и условиях ее проведения.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Единая информационная система в сфере закупок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совокупность информации, содержащейся в базах данных, информационных технологий и техничес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ких средств, обеспечивающих формирование, обработку, хранение такой информации, а также ее предоставление в установленном законодательством порядке с использованием сети Интернет посредствам Официального сайта Единой информационной системы в сфере закупок.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Единый реестр субъектов малого и среднего предпринимательства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реестр, являющийся официальным источником сведений о юридических лицах и об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индивидуальных предпринимателях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отнесенных по законодательству к таковым, и размещенный в сети Интернет на официальном сайте федерального органа исполнительной власти Российской Федерации, осуществляющего функции по контролю и надзору за соблюдением законодательства о налогах и сборах.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Заказчик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юридическое лицо, в интересах и за счет средств, которого осуществляется закупка.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Закупка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последовательность действий, осуществляемая в соответствии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требованиями законодательства, Положением о закупке, иными локальными нормативными документами (актами) Заказчика, а для конкурентной закупки (и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неконкурентной, проводимой способом состязательный отбор) дополнительно – правилами, установленными Извещением и Документацией о закупке, в результате которой производится выбор поставщика с целью заключения договора на приобретение продукции.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Закупочная комиссия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коллегиальный орган, принимающий решения о ходе проведения соответствующей закупки (в том числе по выбору ее победителя)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Заявка (заявка на участие в закупке)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документ (комплект документов), содержащий предложения Участника, направленный Организатору с намерением принять участие в процедурах соответствующей закупки и впоследствии заключить договор на поставку продукции на условиях, определенных Заказчиком: для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конкурентных закупок – в Извещении 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(или) Документацией о закупке.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Заявка на аккредитацию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сведения, которые Заявитель предоставляет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установленном Положением об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аккредитации порядке для прохождения аккредитации.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Извещение о закупке (Извещение)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документ, предназначенный для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потенциальных Участников, публикация (размещение) которого означает официальное объявление о начале закупки (информация в объеме, определенном частью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9 статьи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 Закона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223-ФЗ и Положением о закупке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); под данным документом и соответственно его размещением также подразумевается заполнение и создание 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Официальном сайте (ЕИС) 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(или) ЭП соответствующей страницы на указанных ресурсах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информацией об объявленной закупке.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Интеллектуальные системы управления электросетевым хозяйством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системы удален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ного мониторинга и диагностики, интеллектуальные системы учета электрической энергии (мощности), автоматизированные системы управления технологическими процессами подстанций, автоматизированные системы технологического управления центров управления сетями.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Коллективный участник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объединение юридических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физических лиц,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том числе индивидуальных предпринимателей, выступающих на стороне одного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Участника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 несущих солидарную ответственность по обязательствам, вытекающим из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участия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закупке и дальнейшего заключения и исполнения договора.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Лот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продукция, на которую в рамках закупки допускаются подача отдельного предложения и заключение отдельного договора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Мониторинг аккредитованных поставщиков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процедура выборочной повторной проверки любого ранее аккредитованного Пос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тавщика на предмет соответствия его установленным критериям аккредитации (или наличия оснований, по которым прохождение аккредитации не требуется), без продления срока действия его аккредитации в случае положительного результата такой проверки; при этом от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Поставщика (Участника) не требуется повторное заполнение Заявки на аккредитацию.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Начальная (максимальная) цена договора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предельно допустимая цена договора (лота, единицы продукции), превышение которой исключает возможность заключения договора / недопустимо для заключения договора по итогам проведения закупки.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Окончательное предложение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комплект документов, входящих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состав первой части заявки и содержащих предложение Участника о функциональных характеристиках (потребительских свойствах) предлагаемой к поставке продукции и об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иных условиях исполнения договора, с учетом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уточненных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Извещения и Документации о закупке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результатам проведенных обсуждений (в случае проведения таковых и выявления необходимости внесения изменений в Извещение и Документацию о закупке).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Оператор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электронной площадки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юридическое лицо, соответствующее требованиям законодательства, владеющее электронной площадкой и обеспечивающее проведение закупок в электронной форме в соответствии с положениями законодательства.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Организатор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Заказчик или действующее по договору с ним юридическое лицо, выступающее Сторонним организатором закупки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Официальное размещение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размещение информации о закупке в ЕИС, 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Официальном сайте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bookmarkStart w:id="2" w:name="_Hlk149048701"/>
      <w:r>
        <w:rPr>
          <w:rFonts w:ascii="Times New Roman" w:hAnsi="Times New Roman" w:eastAsia="Times New Roman" w:cs="Times New Roman"/>
          <w:sz w:val="22"/>
          <w:szCs w:val="22"/>
        </w:rPr>
        <w:t xml:space="preserve">(с размещением коп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на ЭП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bookmarkEnd w:id="2"/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Если окончание срока размещения приходится 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нерабочий день согласно законодательству, сведения размещаются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первый рабочий день, следующий за нерабочими днями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Первая часть заявки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комплект документов, входящих в состав заявки и содержащих исключительно описание предлагаемой к поставке продукции, которая является предметом настоящей закупки (без указания сведений об Участнике 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его ценовом предложении), в том числе сведения об окончательном предложении Участника по результатам проведения обсуждений (в случае проведения таковых), 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также информацию и документы, необходимые для осуществления оценки заявки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отношении предлагаемой к поставке продукции (в случае установления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Документации о закупке соответствующих критериев и порядка оценки).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Победитель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Участник, заявка которого соответствует требованиям Документации о закупке и который предложил лучшие условия исполнения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оговора на основании критериев оценки в соответствии с Документацией о закупке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случае признания закупки несостоявшейся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динственный участник такой закупки,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которым Заказчик приня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л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решение заключить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оговор по результатам закупки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оговоренных Положением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закупке случаях приобретает обязательства Победителя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заключению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оговора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Поставщик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любое юридическое или физическое лицо, а также объединение этих лиц, способное на законных основаниях поставить Заказчику требуемую продукцию. Под поставщиком продукции при закупке работ / услуг понимается соответственно подрядчик / исполнитель.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Предмет закупки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 /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 предмет договора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конкретная продукция, которую предполагается закупить в объеме и на условиях, определенных Заказчиком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Преференция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преимущество, которое Заказчик предоставляет определенным группам поставщиков при проведении закупок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соответствии с Единым Положением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закупке продукции для нужд Группы РусГидро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Применение законодательства о национальном режиме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обеспечение (либо необеспечение) происходящему из иностранного государства или группы иностранных государств товару, работе, услуге, соответственно выполняемой, оказываемой иностранным гражданином или иностранным юридическим лицом, равные условия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соответствии с нормами, установленными законодательством.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Программное обеспечение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программное обеспечение, включенное в единый реестр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Минцифры России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российских программ для электронных вычислительных машин и баз данных, используемое в качестве компонента интеллектуальных систем управления электросетевым хозяйством.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Продукция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товары, работы, услуги, приобретаемые Заказчиком на возмездной основе; в том числе в контексте «поставка продукции»: поставка товаров, выполнение работ, оказание услуг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Реестр аккредитации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перечень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лиц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Заявителей, подававших Заявки 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аккредитацию с указанием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отношении них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результатов процедуры аккредитации.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Субъект малого и среднего предпринимательства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определяется в соответствии с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Законом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209-ФЗ. Все условия и требования данной Документации о закупке, относящиеся к субъектам МСП, распространяются также 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физических лиц, не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rStyle w:val="1195"/>
          <w:rFonts w:ascii="Times New Roman" w:hAnsi="Times New Roman" w:eastAsia="Times New Roman" w:cs="Times New Roman"/>
          <w:sz w:val="22"/>
          <w:szCs w:val="22"/>
        </w:rPr>
        <w:footnoteReference w:id="2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если иное не установлено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Документации о закупке.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Уполномоченное лицо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руководитель организации, действующий на основании устава, или уполномоченное им лицо, действующее на основании доверенности на осуществление действий от имени организации, полномочия которых подтверждены соответствующими документами.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Участник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любое юридическое лицо или не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(за исключением юридического лица, являющегося иностранным агентом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соответствии с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Законом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255-ФЗ), либо любое физическое лицо или несколько физических лиц, выступающих н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 (за исключением физического лица, являющегося иностранным агентом в соответствии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Законом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255-ФЗ)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выразившее заинтересованность в участии в закупке (посредством получения Документации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закупке, направления запроса о разъяснении Документации о закупке, внесения обеспечения заявки или подачи заявки на участие в закупке)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Ценовое предложение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комплект документов, входящих в состав заявки, но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подаваемых отдельно от первой и второй частей заявки и содержащих предложение Участника о цене Договора 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каждой единицы продукции, являющейся предметом Договора, 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формулу расчета цены Договора 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расходы на эксплуатацию и ремонт товаров, использование результатов работ / услуг 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любые иные сведения /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документы, требуемые в соответствии с Документацией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закупке и содержащие информацию о ценовых параметрах предложения Участника.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386" w:name="_Toc3"/>
      <w:r>
        <w:rPr>
          <w:rFonts w:ascii="Times New Roman" w:hAnsi="Times New Roman" w:eastAsia="Times New Roman" w:cs="Times New Roman"/>
          <w:sz w:val="22"/>
          <w:szCs w:val="22"/>
        </w:rPr>
      </w:r>
      <w:bookmarkStart w:id="3" w:name="_Ref125359988"/>
      <w:r>
        <w:rPr>
          <w:rFonts w:ascii="Times New Roman" w:hAnsi="Times New Roman" w:eastAsia="Times New Roman" w:cs="Times New Roman"/>
          <w:sz w:val="22"/>
          <w:szCs w:val="22"/>
        </w:rPr>
        <w:t xml:space="preserve">Основные сведения о закупке</w:t>
      </w:r>
      <w:bookmarkEnd w:id="3"/>
      <w:r>
        <w:rPr>
          <w:rFonts w:ascii="Times New Roman" w:hAnsi="Times New Roman" w:eastAsia="Times New Roman" w:cs="Times New Roman"/>
          <w:sz w:val="22"/>
          <w:szCs w:val="22"/>
        </w:rPr>
      </w:r>
      <w:bookmarkEnd w:id="386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387" w:name="_Toc4"/>
      <w:r>
        <w:rPr>
          <w:rFonts w:ascii="Times New Roman" w:hAnsi="Times New Roman" w:eastAsia="Times New Roman" w:cs="Times New Roman"/>
          <w:sz w:val="22"/>
          <w:szCs w:val="22"/>
        </w:rPr>
        <w:t xml:space="preserve">Статус настоящего раздела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387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настоящем разделе содержатся основные сведения о предмете, способе и иных ключевых условиях проводимой закупки.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Здесь и далее все используемые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ссылки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относятся к соответствующим пунктам, разделам и подразделам Документации о закупке, если прямо не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указано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иное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 ссылки на приложения относятся 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соответствующим приложениям 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Документации о закупке, если прямо не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указано иное.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Ссылки на статьи, пункты и разделы, используемые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hyperlink w:tooltip="#Прил01_ТехТребования" w:anchor="Прил01_ТехТребования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Технически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х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 требовани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ях (Приложение № 1)</w:t>
        </w:r>
      </w:hyperlink>
      <w:r>
        <w:rPr>
          <w:rStyle w:val="1211"/>
          <w:rFonts w:ascii="Times New Roman" w:hAnsi="Times New Roman" w:eastAsia="Times New Roman" w:cs="Times New Roman"/>
          <w:sz w:val="22"/>
          <w:szCs w:val="22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</w:t>
      </w:r>
      <w:hyperlink w:tooltip="#Прил02_ПроектДоговора" w:anchor="Прил02_ПроектДоговора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роект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е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 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д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оговора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 (Приложение № 2)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 и иных приложениях 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Документации о закупке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относятся соответственно к статьям, пунктам и разделам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этих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приложений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к Документации о закупке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Все приложения 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Документации о закупке являются ее неотъемлемыми частями.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Информация о проводимой закупке, указанная в подразделе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в объеме, определенном частью 9 статьи 4 Закона 223-ФЗ, составляет Извещение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 закупке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388" w:name="_Toc5"/>
      <w:r>
        <w:rPr>
          <w:rFonts w:ascii="Times New Roman" w:hAnsi="Times New Roman" w:eastAsia="Times New Roman" w:cs="Times New Roman"/>
          <w:sz w:val="22"/>
          <w:szCs w:val="22"/>
        </w:rPr>
      </w:r>
      <w:bookmarkStart w:id="6" w:name="_Ref125359973"/>
      <w:r>
        <w:rPr>
          <w:rFonts w:ascii="Times New Roman" w:hAnsi="Times New Roman" w:eastAsia="Times New Roman" w:cs="Times New Roman"/>
          <w:sz w:val="22"/>
          <w:szCs w:val="22"/>
        </w:rPr>
      </w:r>
      <w:bookmarkStart w:id="7" w:name="_Ref127270076"/>
      <w:r>
        <w:rPr>
          <w:rFonts w:ascii="Times New Roman" w:hAnsi="Times New Roman" w:eastAsia="Times New Roman" w:cs="Times New Roman"/>
          <w:sz w:val="22"/>
          <w:szCs w:val="22"/>
        </w:rPr>
      </w:r>
      <w:bookmarkStart w:id="8" w:name="_Ref132876309"/>
      <w:r>
        <w:rPr>
          <w:rFonts w:ascii="Times New Roman" w:hAnsi="Times New Roman" w:eastAsia="Times New Roman" w:cs="Times New Roman"/>
          <w:sz w:val="22"/>
          <w:szCs w:val="22"/>
        </w:rPr>
        <w:t xml:space="preserve">Информация о проводимой закупке</w:t>
      </w:r>
      <w:bookmarkEnd w:id="6"/>
      <w:r>
        <w:rPr>
          <w:rFonts w:ascii="Times New Roman" w:hAnsi="Times New Roman" w:eastAsia="Times New Roman" w:cs="Times New Roman"/>
          <w:sz w:val="22"/>
          <w:szCs w:val="22"/>
        </w:rPr>
      </w:r>
      <w:bookmarkEnd w:id="7"/>
      <w:r>
        <w:rPr>
          <w:rFonts w:ascii="Times New Roman" w:hAnsi="Times New Roman" w:eastAsia="Times New Roman" w:cs="Times New Roman"/>
          <w:sz w:val="22"/>
          <w:szCs w:val="22"/>
        </w:rPr>
      </w:r>
      <w:bookmarkEnd w:id="8"/>
      <w:r>
        <w:rPr>
          <w:rFonts w:ascii="Times New Roman" w:hAnsi="Times New Roman" w:eastAsia="Times New Roman" w:cs="Times New Roman"/>
          <w:sz w:val="22"/>
          <w:szCs w:val="22"/>
        </w:rPr>
      </w:r>
      <w:bookmarkEnd w:id="388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Style w:val="1208"/>
        <w:tblW w:w="0" w:type="auto"/>
        <w:tblLook w:val="04A0" w:firstRow="1" w:lastRow="0" w:firstColumn="1" w:lastColumn="0" w:noHBand="0" w:noVBand="1"/>
      </w:tblPr>
      <w:tblGrid>
        <w:gridCol w:w="1129"/>
        <w:gridCol w:w="2977"/>
        <w:gridCol w:w="5806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п/п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Наименование пункта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Содержание пункта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10" w:name="_Ref125360980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10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Способ закупки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Конкурс в электронной форме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участниками которого могут быть только субъекты МСП.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11" w:name="_Ref125360996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11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Предмет Договора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 том числе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номер лота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99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99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ОКПД2 42.21.22.120 Выполнение работ по капитальному ремонту разводящих тепловых сетей г. Артем, Приморский край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Лот №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11037008-РЕМ ПРОД-2026-ДГК-ПТС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99"/>
              </w:rPr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99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Описание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предмета закупки: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Подробное описание предмета закупки, в том числе функциональные характеристики (потребительские свойства), технические и качественные характеристики, а также эксплуатационные характеристики (при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необходимости) предмета закупки, информация о количестве поставляемого товара, объема выполняемых работ, оказываемых услуг, 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также место поставки товара, выполнения работы, оказания услуги, содержится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 </w:t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Технических требованиях (Приложении № 1)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12" w:name="_Ref125367124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12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Многолотовая закупка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13" w:name="_Ref125360764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13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Наименование и адрес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ЭП,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на которой проводится закупка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bCs/>
                <w:color w:val="365f9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Закупка проводится с помощью Единой электронной торговой площадки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Росэлторг</w:t>
            </w:r>
            <w:r>
              <w:rPr>
                <w:rFonts w:ascii="Times New Roman" w:hAnsi="Times New Roman" w:eastAsia="Times New Roman" w:cs="Times New Roman"/>
                <w:color w:val="0c33f5"/>
                <w:sz w:val="22"/>
                <w:szCs w:val="22"/>
                <w:lang w:eastAsia="en-US"/>
              </w:rPr>
              <w:t xml:space="preserve"> </w:t>
            </w:r>
            <w:hyperlink r:id="rId13" w:tooltip="https://corp.roseltorg.ru." w:history="1">
              <w:r>
                <w:rPr>
                  <w:rStyle w:val="1197"/>
                  <w:rFonts w:ascii="Times New Roman" w:hAnsi="Times New Roman" w:eastAsia="Times New Roman" w:cs="Times New Roman"/>
                  <w:color w:val="0c33f5"/>
                  <w:sz w:val="22"/>
                  <w:szCs w:val="22"/>
                </w:rPr>
                <w:t xml:space="preserve">https://corp.roseltorg.ru.</w:t>
              </w:r>
            </w:hyperlink>
            <w:r>
              <w:rPr>
                <w:rFonts w:ascii="Times New Roman" w:hAnsi="Times New Roman" w:cs="Times New Roman"/>
                <w:b/>
                <w:bCs/>
                <w:color w:val="365f9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color w:val="365f91"/>
                <w:sz w:val="22"/>
                <w:szCs w:val="22"/>
              </w:rPr>
            </w:r>
          </w:p>
          <w:p>
            <w:pPr>
              <w:jc w:val="both"/>
              <w:spacing w:after="120"/>
              <w:rPr>
                <w:rFonts w:ascii="Times New Roman" w:hAnsi="Times New Roman" w:cs="Times New Roman"/>
                <w:bCs/>
                <w:i/>
                <w:color w:val="0c33f5"/>
                <w:sz w:val="22"/>
                <w:szCs w:val="22"/>
                <w:highlight w:val="none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Регламент ЭТП, в соответствии с которым проводится закупка, размещен по адресу: </w:t>
            </w:r>
            <w:r>
              <w:rPr>
                <w:rStyle w:val="1192"/>
              </w:rPr>
            </w:r>
            <w:hyperlink r:id="rId14" w:tooltip="http://www.roseltorg.ru/knowledge_db/docs/documents" w:history="1">
              <w:r>
                <w:rPr>
                  <w:rStyle w:val="1197"/>
                  <w:color w:val="0c33f5"/>
                  <w:sz w:val="22"/>
                  <w:szCs w:val="22"/>
                </w:rPr>
                <w:t xml:space="preserve">www.roseltorg.ru/knowledge_db/docs/documents</w:t>
              </w:r>
              <w:r>
                <w:rPr>
                  <w:rStyle w:val="1197"/>
                  <w:color w:val="0c33f5"/>
                  <w:sz w:val="22"/>
                  <w:szCs w:val="22"/>
                </w:rPr>
              </w:r>
              <w:r>
                <w:rPr>
                  <w:rStyle w:val="1197"/>
                  <w:rFonts w:ascii="Times New Roman" w:hAnsi="Times New Roman" w:cs="Times New Roman"/>
                  <w:i/>
                  <w:sz w:val="22"/>
                  <w:szCs w:val="22"/>
                  <w:shd w:val="clear" w:color="auto" w:fill="ffff99"/>
                </w:rPr>
              </w:r>
            </w:hyperlink>
            <w:r>
              <w:rPr>
                <w:rFonts w:ascii="Times New Roman" w:hAnsi="Times New Roman" w:cs="Times New Roman"/>
                <w:bCs/>
                <w:i/>
                <w:color w:val="0c33f5"/>
                <w:sz w:val="22"/>
                <w:szCs w:val="22"/>
                <w:highlight w:val="none"/>
                <w:shd w:val="clear" w:color="auto" w:fill="ffff99"/>
              </w:rPr>
            </w:r>
            <w:r>
              <w:rPr>
                <w:rFonts w:ascii="Times New Roman" w:hAnsi="Times New Roman" w:cs="Times New Roman"/>
                <w:bCs/>
                <w:i/>
                <w:color w:val="0c33f5"/>
                <w:sz w:val="22"/>
                <w:szCs w:val="22"/>
                <w:highlight w:val="none"/>
                <w:shd w:val="clear" w:color="auto" w:fill="ffff99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14" w:name="_Ref125360970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14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Участники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Участвовать в закупке могут 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олько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субъекты МСП, а также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физически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лиц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не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являющихся индивидуальными предпринимателями и применяющих специальный налоговый режим «Налог на профессиональный доход»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При этом Участник вправе привлекать субподрядчиков (соисполнителей), в том числе не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являющихся субъектами МСП, а также указанными выше физическими лицами (в случае отсутствия в условиях </w:t>
            </w:r>
            <w:hyperlink w:tooltip="#Прил02_ПроектДоговора" w:anchor="Прил02_ПроектДоговора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Проекта Договора (Приложение № 2)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прямого запрета на привлечение 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исполнению обязательств по Договору третьих лиц).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15" w:name="_Ref125360988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15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Заказчик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spacing w:before="0"/>
              <w:widowControl w:val="off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Акционерное общество «Дальневосточная генерирующая компания» (далее - АО «ДГК»)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spacing w:before="0"/>
              <w:widowControl w:val="off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Место нахождения: 680000, г. Хабаровск, ул. Фрунзе, д. 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spacing w:before="0"/>
              <w:widowControl w:val="off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Почтовый адрес: 680000, г. Хабаровск, ул. Фрунзе, д. 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spacing w:before="0"/>
              <w:widowControl w:val="off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Адрес электронной почты:</w:t>
            </w:r>
            <w:r>
              <w:rPr>
                <w:color w:val="0c33f5"/>
                <w:sz w:val="22"/>
                <w:szCs w:val="22"/>
              </w:rPr>
              <w:t xml:space="preserve"> </w:t>
            </w:r>
            <w:hyperlink r:id="rId15" w:tooltip="mailto:dgk@dgk.ru" w:history="1">
              <w:r>
                <w:rPr>
                  <w:rStyle w:val="1197"/>
                  <w:color w:val="0c33f5"/>
                  <w:sz w:val="22"/>
                  <w:szCs w:val="22"/>
                  <w:lang w:val="en-US"/>
                </w:rPr>
                <w:t xml:space="preserve">dgk</w:t>
              </w:r>
              <w:r>
                <w:rPr>
                  <w:rStyle w:val="1197"/>
                  <w:color w:val="0c33f5"/>
                  <w:sz w:val="22"/>
                  <w:szCs w:val="22"/>
                </w:rPr>
                <w:t xml:space="preserve">@</w:t>
              </w:r>
              <w:r>
                <w:rPr>
                  <w:rStyle w:val="1197"/>
                  <w:color w:val="0c33f5"/>
                  <w:sz w:val="22"/>
                  <w:szCs w:val="22"/>
                  <w:lang w:val="en-US"/>
                </w:rPr>
                <w:t xml:space="preserve">dgk</w:t>
              </w:r>
              <w:r>
                <w:rPr>
                  <w:rStyle w:val="1197"/>
                  <w:color w:val="0c33f5"/>
                  <w:sz w:val="22"/>
                  <w:szCs w:val="22"/>
                </w:rPr>
                <w:t xml:space="preserve">.</w:t>
              </w:r>
              <w:r>
                <w:rPr>
                  <w:rStyle w:val="1197"/>
                  <w:color w:val="0c33f5"/>
                  <w:sz w:val="22"/>
                  <w:szCs w:val="22"/>
                  <w:lang w:val="en-US"/>
                </w:rPr>
                <w:t xml:space="preserve">ru</w:t>
              </w:r>
            </w:hyperlink>
            <w:r>
              <w:rPr>
                <w:color w:val="0c33f5"/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spacing w:before="0"/>
              <w:widowControl w:val="off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Контактный телефон: +7(4212) </w:t>
            </w:r>
            <w:r>
              <w:rPr>
                <w:sz w:val="22"/>
                <w:szCs w:val="22"/>
              </w:rPr>
              <w:t xml:space="preserve">26-47-34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1229"/>
              <w:spacing w:after="120"/>
              <w:rPr>
                <w:rStyle w:val="1197"/>
                <w:rFonts w:ascii="Times New Roman" w:hAnsi="Times New Roman" w:eastAsia="Times New Roman" w:cs="Times New Roman"/>
                <w:b w:val="0"/>
                <w:bCs w:val="0"/>
                <w:color w:val="0c33f5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sz w:val="22"/>
                <w:szCs w:val="22"/>
              </w:rPr>
              <w:t xml:space="preserve">По вопросам разъяснения Технических требований и заключения Договора обращаться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к в</w:t>
            </w:r>
            <w:r>
              <w:rPr>
                <w:b w:val="0"/>
                <w:sz w:val="22"/>
                <w:szCs w:val="22"/>
              </w:rPr>
              <w:t xml:space="preserve">едущему инженеру ЦЦР  СП «Приморские тепловые сети» АО «ДГК»</w:t>
            </w:r>
            <w:r>
              <w:rPr>
                <w:b w:val="0"/>
                <w:sz w:val="22"/>
                <w:szCs w:val="22"/>
              </w:rPr>
              <w:t xml:space="preserve">: </w:t>
            </w:r>
            <w:r>
              <w:rPr>
                <w:b w:val="0"/>
                <w:sz w:val="22"/>
                <w:szCs w:val="22"/>
              </w:rPr>
              <w:t xml:space="preserve">Шевченко Кристина Олеговна</w:t>
            </w:r>
            <w:r>
              <w:rPr>
                <w:b w:val="0"/>
                <w:sz w:val="22"/>
                <w:szCs w:val="22"/>
              </w:rPr>
              <w:t xml:space="preserve">, </w:t>
            </w:r>
            <w:r>
              <w:rPr>
                <w:b w:val="0"/>
                <w:sz w:val="22"/>
                <w:szCs w:val="22"/>
              </w:rPr>
              <w:t xml:space="preserve">тел</w:t>
            </w:r>
            <w:r>
              <w:rPr>
                <w:b w:val="0"/>
                <w:sz w:val="22"/>
                <w:szCs w:val="22"/>
              </w:rPr>
              <w:t xml:space="preserve">.</w:t>
            </w:r>
            <w:r>
              <w:rPr>
                <w:b w:val="0"/>
                <w:sz w:val="22"/>
                <w:szCs w:val="22"/>
              </w:rPr>
              <w:t xml:space="preserve">8 (423) 2-62-97-00 </w:t>
            </w:r>
            <w:r>
              <w:rPr>
                <w:b w:val="0"/>
                <w:sz w:val="22"/>
                <w:szCs w:val="22"/>
              </w:rPr>
              <w:t xml:space="preserve">,</w:t>
            </w:r>
            <w:r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эл.почта</w:t>
            </w:r>
            <w:r>
              <w:rPr>
                <w:b w:val="0"/>
                <w:sz w:val="22"/>
                <w:szCs w:val="22"/>
              </w:rPr>
              <w:t xml:space="preserve">:</w:t>
            </w:r>
            <w:r>
              <w:rPr>
                <w:b w:val="0"/>
                <w:color w:val="0c33f5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lang w:eastAsia="en-US"/>
              </w:rPr>
            </w:r>
            <w:hyperlink r:id="rId16" w:tooltip="http://shevchenko-ko@dgk.ru" w:history="1">
              <w:r>
                <w:rPr>
                  <w:rStyle w:val="1197"/>
                  <w:rFonts w:ascii="Times New Roman" w:hAnsi="Times New Roman" w:eastAsia="Times New Roman" w:cs="Times New Roman"/>
                  <w:b w:val="0"/>
                  <w:bCs w:val="0"/>
                  <w:color w:val="0c33f5"/>
                  <w:sz w:val="22"/>
                  <w:szCs w:val="22"/>
                  <w:lang w:eastAsia="en-US"/>
                </w:rPr>
                <w:t xml:space="preserve">shevchenko-ko@dgk.ru</w:t>
              </w:r>
              <w:r>
                <w:rPr>
                  <w:rStyle w:val="1197"/>
                  <w:rFonts w:ascii="Times New Roman" w:hAnsi="Times New Roman" w:eastAsia="Times New Roman" w:cs="Times New Roman"/>
                  <w:b w:val="0"/>
                  <w:bCs w:val="0"/>
                  <w:color w:val="0c33f5"/>
                  <w:sz w:val="22"/>
                  <w:szCs w:val="22"/>
                  <w:lang w:eastAsia="en-US"/>
                </w:rPr>
              </w:r>
              <w:r>
                <w:rPr>
                  <w:rStyle w:val="1197"/>
                  <w:b w:val="0"/>
                  <w:bCs w:val="0"/>
                  <w:color w:val="0c33f5"/>
                  <w:sz w:val="22"/>
                  <w:szCs w:val="22"/>
                  <w:highlight w:val="none"/>
                  <w:shd w:val="clear" w:color="auto" w:fill="auto"/>
                </w:rPr>
              </w:r>
              <w:r>
                <w:rPr>
                  <w:rStyle w:val="1197"/>
                  <w:rFonts w:ascii="Times New Roman" w:hAnsi="Times New Roman" w:eastAsia="Times New Roman" w:cs="Times New Roman"/>
                  <w:b w:val="0"/>
                  <w:bCs w:val="0"/>
                  <w:color w:val="0c33f5"/>
                  <w:sz w:val="22"/>
                  <w:szCs w:val="22"/>
                  <w:highlight w:val="none"/>
                  <w:shd w:val="clear" w:color="auto" w:fill="auto"/>
                </w:rPr>
              </w:r>
            </w:hyperlink>
            <w:r>
              <w:rPr>
                <w:rStyle w:val="1197"/>
                <w:rFonts w:ascii="Times New Roman" w:hAnsi="Times New Roman" w:eastAsia="Times New Roman" w:cs="Times New Roman"/>
                <w:b w:val="0"/>
                <w:bCs w:val="0"/>
                <w:color w:val="0c33f5"/>
                <w:sz w:val="22"/>
                <w:szCs w:val="22"/>
                <w:highlight w:val="none"/>
                <w:shd w:val="clear" w:color="auto" w:fill="auto"/>
              </w:rPr>
            </w:r>
            <w:r>
              <w:rPr>
                <w:rStyle w:val="1197"/>
                <w:rFonts w:ascii="Times New Roman" w:hAnsi="Times New Roman" w:eastAsia="Times New Roman" w:cs="Times New Roman"/>
                <w:b w:val="0"/>
                <w:bCs w:val="0"/>
                <w:color w:val="0c33f5"/>
                <w:sz w:val="22"/>
                <w:szCs w:val="22"/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16" w:name="_Ref125360954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16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Организатор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030"/>
              <w:rPr>
                <w:b w:val="0"/>
                <w:szCs w:val="20"/>
              </w:rPr>
            </w:pPr>
            <w:r>
              <w:rPr>
                <w:b w:val="0"/>
                <w:sz w:val="22"/>
                <w:szCs w:val="22"/>
              </w:rPr>
              <w:t xml:space="preserve">Наименование (полное и сокращенное): Акционерное общество «Дальневосточная Генерирующая компания» (АО «ДГК») </w:t>
            </w:r>
            <w:r>
              <w:rPr>
                <w:b w:val="0"/>
                <w:szCs w:val="20"/>
              </w:rPr>
            </w:r>
            <w:r>
              <w:rPr>
                <w:b w:val="0"/>
                <w:szCs w:val="20"/>
              </w:rPr>
            </w:r>
          </w:p>
          <w:p>
            <w:pPr>
              <w:pStyle w:val="1030"/>
              <w:rPr>
                <w:b w:val="0"/>
                <w:szCs w:val="20"/>
              </w:rPr>
            </w:pPr>
            <w:r>
              <w:rPr>
                <w:b w:val="0"/>
                <w:sz w:val="22"/>
                <w:szCs w:val="22"/>
              </w:rPr>
              <w:t xml:space="preserve">Место нахождения: 680000 г. Хабаровск, ул. Фрунзе, д. 49</w:t>
            </w:r>
            <w:r>
              <w:rPr>
                <w:b w:val="0"/>
                <w:szCs w:val="20"/>
              </w:rPr>
            </w:r>
            <w:r>
              <w:rPr>
                <w:b w:val="0"/>
                <w:szCs w:val="20"/>
              </w:rPr>
            </w:r>
          </w:p>
          <w:p>
            <w:pPr>
              <w:pStyle w:val="1030"/>
              <w:rPr>
                <w:b w:val="0"/>
                <w:szCs w:val="20"/>
              </w:rPr>
            </w:pPr>
            <w:r>
              <w:rPr>
                <w:b w:val="0"/>
                <w:sz w:val="22"/>
                <w:szCs w:val="22"/>
              </w:rPr>
              <w:t xml:space="preserve">Почтовый адрес: 680000 г. Хабаровск, ул. Фрунзе, д. 49</w:t>
            </w:r>
            <w:r>
              <w:rPr>
                <w:b w:val="0"/>
                <w:szCs w:val="20"/>
              </w:rPr>
            </w:r>
            <w:r>
              <w:rPr>
                <w:b w:val="0"/>
                <w:szCs w:val="20"/>
              </w:rPr>
            </w:r>
          </w:p>
          <w:p>
            <w:pPr>
              <w:pStyle w:val="103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Адрес электронной почты: </w:t>
            </w:r>
            <w:hyperlink r:id="rId17" w:tooltip="mailto:dgk@dgk.ru" w:history="1">
              <w:r>
                <w:rPr>
                  <w:color w:val="0000ff"/>
                  <w:sz w:val="22"/>
                  <w:szCs w:val="22"/>
                  <w:u w:val="single"/>
                  <w:lang w:val="en-US"/>
                </w:rPr>
                <w:t xml:space="preserve">dgk</w:t>
              </w:r>
              <w:r>
                <w:rPr>
                  <w:color w:val="0000ff"/>
                  <w:sz w:val="22"/>
                  <w:szCs w:val="22"/>
                  <w:u w:val="single"/>
                </w:rPr>
                <w:t xml:space="preserve">@</w:t>
              </w:r>
              <w:r>
                <w:rPr>
                  <w:color w:val="0000ff"/>
                  <w:sz w:val="22"/>
                  <w:szCs w:val="22"/>
                  <w:u w:val="single"/>
                  <w:lang w:val="en-US"/>
                </w:rPr>
                <w:t xml:space="preserve">dgk</w:t>
              </w:r>
              <w:r>
                <w:rPr>
                  <w:color w:val="0000ff"/>
                  <w:sz w:val="22"/>
                  <w:szCs w:val="22"/>
                  <w:u w:val="single"/>
                </w:rPr>
                <w:t xml:space="preserve">.</w:t>
              </w:r>
              <w:r>
                <w:rPr>
                  <w:color w:val="0000ff"/>
                  <w:sz w:val="22"/>
                  <w:szCs w:val="22"/>
                  <w:u w:val="single"/>
                  <w:lang w:val="en-US"/>
                </w:rPr>
                <w:t xml:space="preserve">ru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1030"/>
              <w:rPr>
                <w:b/>
                <w:szCs w:val="20"/>
              </w:rPr>
            </w:pPr>
            <w:r>
              <w:rPr>
                <w:b w:val="0"/>
                <w:sz w:val="22"/>
                <w:szCs w:val="22"/>
              </w:rPr>
              <w:t xml:space="preserve">Контактный телефон: (4212) 26-</w:t>
            </w:r>
            <w:r>
              <w:rPr>
                <w:b w:val="0"/>
                <w:sz w:val="22"/>
                <w:szCs w:val="22"/>
              </w:rPr>
              <w:t xml:space="preserve">59-45</w:t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17" w:name="_Ref125361238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17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Представитель Организатора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030"/>
              <w:rPr>
                <w:b w:val="0"/>
                <w:szCs w:val="20"/>
              </w:rPr>
            </w:pPr>
            <w:r>
              <w:rPr>
                <w:b w:val="0"/>
                <w:sz w:val="22"/>
                <w:szCs w:val="22"/>
              </w:rPr>
              <w:t xml:space="preserve">Контактное лицо (Ф.И.О.): Евстратенко Анна Валериевна </w:t>
            </w:r>
            <w:r>
              <w:rPr>
                <w:b w:val="0"/>
                <w:szCs w:val="20"/>
              </w:rPr>
            </w:r>
            <w:r>
              <w:rPr>
                <w:b w:val="0"/>
                <w:szCs w:val="20"/>
              </w:rPr>
            </w:r>
          </w:p>
          <w:p>
            <w:pPr>
              <w:pStyle w:val="1030"/>
              <w:rPr>
                <w:b w:val="0"/>
                <w:szCs w:val="20"/>
              </w:rPr>
            </w:pPr>
            <w:r>
              <w:rPr>
                <w:b w:val="0"/>
                <w:sz w:val="22"/>
                <w:szCs w:val="22"/>
              </w:rPr>
              <w:t xml:space="preserve">Контактный телефон: +7(4212) 26-47-34</w:t>
            </w:r>
            <w:r>
              <w:rPr>
                <w:b w:val="0"/>
                <w:szCs w:val="20"/>
              </w:rPr>
            </w:r>
            <w:r>
              <w:rPr>
                <w:b w:val="0"/>
                <w:szCs w:val="20"/>
              </w:rPr>
            </w:r>
          </w:p>
          <w:p>
            <w:pPr>
              <w:pStyle w:val="1030"/>
              <w:rPr>
                <w:i w:val="0"/>
                <w:szCs w:val="20"/>
                <w:shd w:val="clear" w:color="auto" w:fill="auto"/>
              </w:rPr>
            </w:pPr>
            <w:r>
              <w:rPr>
                <w:b w:val="0"/>
                <w:sz w:val="22"/>
                <w:szCs w:val="22"/>
              </w:rPr>
              <w:t xml:space="preserve">Адрес электронной почты: </w:t>
            </w:r>
            <w:hyperlink r:id="rId18" w:tooltip="mailto:evstratenko-av@dgk.ru" w:history="1">
              <w:r>
                <w:rPr>
                  <w:rStyle w:val="1197"/>
                  <w:b w:val="0"/>
                  <w:color w:val="0c33f5"/>
                  <w:sz w:val="22"/>
                  <w:szCs w:val="22"/>
                  <w:lang w:val="en-US"/>
                </w:rPr>
                <w:t xml:space="preserve">evstratenko</w:t>
              </w:r>
              <w:r>
                <w:rPr>
                  <w:rStyle w:val="1197"/>
                  <w:b w:val="0"/>
                  <w:color w:val="0c33f5"/>
                  <w:sz w:val="22"/>
                  <w:szCs w:val="22"/>
                </w:rPr>
                <w:t xml:space="preserve">-</w:t>
              </w:r>
              <w:r>
                <w:rPr>
                  <w:rStyle w:val="1197"/>
                  <w:b w:val="0"/>
                  <w:color w:val="0c33f5"/>
                  <w:sz w:val="22"/>
                  <w:szCs w:val="22"/>
                  <w:lang w:val="en-US"/>
                </w:rPr>
                <w:t xml:space="preserve">av</w:t>
              </w:r>
              <w:r>
                <w:rPr>
                  <w:rStyle w:val="1197"/>
                  <w:b w:val="0"/>
                  <w:color w:val="0c33f5"/>
                  <w:sz w:val="22"/>
                  <w:szCs w:val="22"/>
                </w:rPr>
                <w:t xml:space="preserve">@</w:t>
              </w:r>
              <w:r>
                <w:rPr>
                  <w:rStyle w:val="1197"/>
                  <w:b w:val="0"/>
                  <w:color w:val="0c33f5"/>
                  <w:sz w:val="22"/>
                  <w:szCs w:val="22"/>
                  <w:lang w:val="en-US"/>
                </w:rPr>
                <w:t xml:space="preserve">dgk</w:t>
              </w:r>
              <w:r>
                <w:rPr>
                  <w:rStyle w:val="1197"/>
                  <w:b w:val="0"/>
                  <w:color w:val="0c33f5"/>
                  <w:sz w:val="22"/>
                  <w:szCs w:val="22"/>
                </w:rPr>
                <w:t xml:space="preserve">.</w:t>
              </w:r>
              <w:r>
                <w:rPr>
                  <w:rStyle w:val="1197"/>
                  <w:b w:val="0"/>
                  <w:color w:val="0c33f5"/>
                  <w:sz w:val="22"/>
                  <w:szCs w:val="22"/>
                  <w:lang w:val="en-US"/>
                </w:rPr>
                <w:t xml:space="preserve">ru</w:t>
              </w:r>
            </w:hyperlink>
            <w:r>
              <w:rPr>
                <w:i w:val="0"/>
                <w:szCs w:val="20"/>
                <w:shd w:val="clear" w:color="auto" w:fill="auto"/>
              </w:rPr>
            </w:r>
            <w:r>
              <w:rPr>
                <w:i w:val="0"/>
                <w:szCs w:val="20"/>
                <w:shd w:val="clear" w:color="auto" w:fill="auto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18" w:name="_Ref125362694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18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Официальный источник размещения информации о проведении закупки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/ 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рок, место и порядок предоставления Документации о закупке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Документация о закупке официально размещена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ЕИС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 доступна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на Официальном сайте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для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ознакомления любым заинтересованным лицам.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Официальным источником информации 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ходе проведения закупки является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Официальный сайт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zakupki.gov.ru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Документация о закупке доступна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без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взимания платы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в форме электронного документа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любое время с момента официального размещения Извещения.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Предоставление Документации 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закупке 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бумажном носителе не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предусмотрено.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19" w:name="_Ref125360963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19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Дата размещения Извещения о проведении закупки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«20»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февраля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2026г.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Style w:val="1192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1192"/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Style w:val="1192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1192"/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20" w:name="_Ref125362837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20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Начальная (максимальная) цена договора (цена лота)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26" w:leader="none"/>
              </w:tabs>
              <w:rPr>
                <w:rFonts w:eastAsia="Geneva"/>
                <w:sz w:val="20"/>
                <w:szCs w:val="20"/>
              </w:rPr>
            </w:pPr>
            <w:r>
              <w:rPr>
                <w:rFonts w:eastAsia="Geneva"/>
                <w:sz w:val="22"/>
                <w:szCs w:val="22"/>
                <w:lang w:eastAsia="en-US"/>
              </w:rPr>
              <w:t xml:space="preserve">НМЦ составляет:</w:t>
            </w:r>
            <w:r>
              <w:rPr>
                <w:rFonts w:eastAsia="Geneva"/>
                <w:sz w:val="20"/>
                <w:szCs w:val="20"/>
              </w:rPr>
            </w:r>
            <w:r>
              <w:rPr>
                <w:rFonts w:eastAsia="Geneva"/>
                <w:sz w:val="20"/>
                <w:szCs w:val="20"/>
              </w:rPr>
            </w:r>
          </w:p>
          <w:p>
            <w:pPr>
              <w:pStyle w:val="118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Geneva"/>
                <w:sz w:val="22"/>
                <w:szCs w:val="22"/>
                <w:lang w:eastAsia="en-US"/>
              </w:rPr>
              <w:t xml:space="preserve">30 466 409,00 руб. без учета НДС.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Сведения о начальной (максимальной) цене единицы продукции, необходимые для применения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законодательства о национальном режиме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представлена в форме Коммерческого предложения (форма 3) (</w:t>
            </w:r>
            <w:hyperlink w:tooltip="#Прил04_ФормыЗаявки" w:anchor="Прил04_Формы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4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Обоснование НМЦ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представлено в </w:t>
            </w:r>
            <w:hyperlink w:tooltip="#Прил09_ОбоснованиеНМЦ" w:anchor="Прил09_ОбоснованиеНМЦ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</w:t>
              </w:r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и</w:t>
              </w:r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 №</w:t>
              </w:r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 </w:t>
              </w:r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9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21" w:name="_Ref125363076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21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Обеспечение заявки 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участие в закупке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Не требуется.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Style w:val="1192"/>
                <w:rFonts w:ascii="Times New Roman" w:hAnsi="Times New Roman" w:cs="Times New Roman"/>
                <w:i w:val="0"/>
                <w:iCs w:val="0"/>
                <w:sz w:val="22"/>
                <w:szCs w:val="22"/>
                <w:shd w:val="clear" w:color="auto" w:fill="auto"/>
              </w:rPr>
            </w:pPr>
            <w:r>
              <w:rPr>
                <w:rStyle w:val="1192"/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2"/>
                <w:szCs w:val="22"/>
                <w:shd w:val="clear" w:color="auto" w:fill="auto"/>
              </w:rPr>
              <w:t xml:space="preserve">Внимание!</w:t>
            </w:r>
            <w:r>
              <w:rPr>
                <w:rStyle w:val="1192"/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shd w:val="clear" w:color="auto" w:fill="auto"/>
              </w:rPr>
              <w:t xml:space="preserve"> Для того, чтобы иметь возможность подать заявку на участие в закупке, в соответствии с Регламентом ЭП на счете Участника, открытом ему </w:t>
            </w:r>
            <w:r>
              <w:rPr>
                <w:rStyle w:val="1192"/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shd w:val="clear" w:color="auto" w:fill="auto"/>
              </w:rPr>
              <w:t xml:space="preserve">О</w:t>
            </w:r>
            <w:r>
              <w:rPr>
                <w:rStyle w:val="1192"/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shd w:val="clear" w:color="auto" w:fill="auto"/>
              </w:rPr>
              <w:t xml:space="preserve">ператором ЭП, должна быть внесена сумма в</w:t>
            </w:r>
            <w:r>
              <w:rPr>
                <w:rStyle w:val="1192"/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shd w:val="clear" w:color="auto" w:fill="auto"/>
              </w:rPr>
              <w:t xml:space="preserve"> </w:t>
            </w:r>
            <w:r>
              <w:rPr>
                <w:rStyle w:val="1192"/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shd w:val="clear" w:color="auto" w:fill="auto"/>
              </w:rPr>
              <w:t xml:space="preserve">размере не</w:t>
            </w:r>
            <w:r>
              <w:rPr>
                <w:rStyle w:val="1192"/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1192"/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shd w:val="clear" w:color="auto" w:fill="auto"/>
              </w:rPr>
              <w:t xml:space="preserve">менее установленной платы в</w:t>
            </w:r>
            <w:r>
              <w:rPr>
                <w:rStyle w:val="1192"/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shd w:val="clear" w:color="auto" w:fill="auto"/>
              </w:rPr>
              <w:t xml:space="preserve"> </w:t>
            </w:r>
            <w:r>
              <w:rPr>
                <w:rStyle w:val="1192"/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shd w:val="clear" w:color="auto" w:fill="auto"/>
              </w:rPr>
              <w:t xml:space="preserve">соответствии с</w:t>
            </w:r>
            <w:r>
              <w:rPr>
                <w:rStyle w:val="1192"/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1192"/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shd w:val="clear" w:color="auto" w:fill="auto"/>
              </w:rPr>
              <w:t xml:space="preserve">тарифами </w:t>
            </w:r>
            <w:r>
              <w:rPr>
                <w:rStyle w:val="1192"/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shd w:val="clear" w:color="auto" w:fill="auto"/>
              </w:rPr>
              <w:t xml:space="preserve">О</w:t>
            </w:r>
            <w:r>
              <w:rPr>
                <w:rStyle w:val="1192"/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shd w:val="clear" w:color="auto" w:fill="auto"/>
              </w:rPr>
              <w:t xml:space="preserve">ператора ЭП.</w:t>
            </w:r>
            <w:r>
              <w:rPr>
                <w:rStyle w:val="1192"/>
                <w:rFonts w:ascii="Times New Roman" w:hAnsi="Times New Roman" w:cs="Times New Roman"/>
                <w:i w:val="0"/>
                <w:iCs w:val="0"/>
                <w:sz w:val="22"/>
                <w:szCs w:val="22"/>
                <w:shd w:val="clear" w:color="auto" w:fill="auto"/>
              </w:rPr>
            </w:r>
            <w:r>
              <w:rPr>
                <w:rStyle w:val="1192"/>
                <w:rFonts w:ascii="Times New Roman" w:hAnsi="Times New Roman" w:cs="Times New Roman"/>
                <w:i w:val="0"/>
                <w:iCs w:val="0"/>
                <w:sz w:val="22"/>
                <w:szCs w:val="22"/>
                <w:shd w:val="clear" w:color="auto" w:fill="auto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22" w:name="_Ref125362995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22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Требования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описанию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продукции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огласие (декларация) Участника на поставку продукции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установленной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форме Технического предложения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(форма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</w:t>
            </w:r>
            <w:hyperlink w:tooltip="#Прил04_ФормыЗаявки" w:anchor="Прил04_Формы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</w:t>
              </w:r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4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условиях, указанных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Документации о закупке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и не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подлежащих изменению по результатам проведения закупки, без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направления Участником собственных подробных предложений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Применение законодательства 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национальном режиме: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Национальный режим предоставляется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23" w:name="_Ref125533737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23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Дополнительный этап закупки – Предзаявочное обсуждение: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(проведение в срок до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окончания срока подачи заявок Заказчиком обсуждения с Участниками функциональных характеристик (потребительских свойств) продукции и иных условий исполнения договора в целях уточнения в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звещении,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окументации о закупке, проекте договора требуемых характеристик (потребительских свойств) закупаем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ой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продукции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Не предусмотрен.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24" w:name="_Ref132896648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24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Дополнительный этап закупки – Обсуждение заявок: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обсуждение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аказчиком предложений о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функциональных характеристиках (потребительских свойствах)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продукции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 и об иных условиях исполнения договора, содержащихся в заявках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У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частников, в целях уточнения в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звещении,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окументации о закупке,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проекте договора требуемых характеристик (потребительских свойств) закупаем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ой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продукции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Не предусмотрен.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25" w:name="_Ref125475086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25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Место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 порядок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подачи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заявок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Заявки подаются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посредством функционала ЭП,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адресу ЭП, указанному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пункте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_Ref125360764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1.2.5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Заявка должна состоять из двух частей и ценового предложения.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26" w:name="_Ref125360779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26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Дата начала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дата и время окончания срока подачи заявок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(окончательных предложений)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Дата начала подачи заявок: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«20»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февраля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2026 г.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Дата и время окончания срока подачи заявок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(окончательных предложений)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«12»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марта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2026 г. в 15 ч. 00 мин.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(по местному времени Организатора).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Срок предоставления Участникам разъяснений Документации 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закупке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Дата и время окончания срока предоставления разъяснений: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«12» марта 2026 г. в 15 ч. 00 мин.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(по местному времени Организатора).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Организатор вправе не предоставлять разъяснение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сли запрос от Участника поступил позднее чем за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3 (три) рабочих дня до даты окончания срока подачи заявок, установленной в пункте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_Ref125360779 \r \h 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1.2.19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27" w:name="_Ref125476197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27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Место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открытия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доступа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 заявкам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Открытие доступа к заявкам осуществляется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автоматически на ЭП, расположенной по адресу согласно пункту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_Ref125360764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1.2.5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28" w:name="_Ref125362733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28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Дата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окончания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рассмотрения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первых частей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заявок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(первых частей заявок, содержащихся в окончательных предложениях)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«18» марта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2026 г.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Style w:val="1192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1192"/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Style w:val="1192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1192"/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Срок направления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ператором ЭП вторых частей заявок и ценовых предложений в адрес Организатора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Не позднее 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(одного) рабочего дня, следующего за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днем официального размещения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 Официальном сайте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ЕИС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протокола рассмотрения первых частей заявок (первых частей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заявок, содержащихся в окончательных предложениях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29" w:name="_Ref132898515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29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Дата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окончания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рассмотрения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вторых частей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заявок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и ценовых предложений: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«31» марта 2026 г.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Дополнительный этап закупки – Переторжка (подача дополнительных ценовых предложений):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Не предусмотрен.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30" w:name="_Ref125362757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30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Дата подведения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итогов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закупки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«31» марта 2026 г.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Style w:val="1192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1192"/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Style w:val="1192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1192"/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31" w:name="_Ref125366047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31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Преференция продукции, изготовленной 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использованием российского алюминия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или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алюминиевых полуфабрикатов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Не предоставляется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32" w:name="_Ref125361769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32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Рассмотрение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оценка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и сопоставление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заявок Участников 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учетом привлекаемых субподрядчиков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Не предусмотрено.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Порядок подведения итогов закупки: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Победителем закупки признается Участник, заявка которого соответствует требованиям Документации 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закупке и содержит лучшие условия исполнения Договора на основании установленных критериев оценки согласно Документации о закупке.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33" w:name="_Ref125366606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33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Количество победителей закупки (в рамках одного лота)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Один победитель.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34" w:name="_Ref125366813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34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Место подачи документов в отношении цепочки собственников, включая конечных бенефициаров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keepNext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Контактное лицо (Ф.И.О.): </w:t>
            </w:r>
            <w:r>
              <w:rPr>
                <w:b w:val="0"/>
                <w:sz w:val="22"/>
                <w:szCs w:val="22"/>
              </w:rPr>
              <w:t xml:space="preserve">Шевченко Кристина Олеговна</w:t>
            </w:r>
            <w:r>
              <w:rPr>
                <w:b w:val="0"/>
                <w:sz w:val="22"/>
                <w:szCs w:val="22"/>
              </w:rPr>
              <w:t xml:space="preserve">, </w:t>
            </w:r>
            <w:r>
              <w:rPr>
                <w:b w:val="0"/>
                <w:sz w:val="22"/>
                <w:szCs w:val="22"/>
              </w:rPr>
              <w:t xml:space="preserve">тел</w:t>
            </w:r>
            <w:r>
              <w:rPr>
                <w:b w:val="0"/>
                <w:sz w:val="22"/>
                <w:szCs w:val="22"/>
              </w:rPr>
              <w:t xml:space="preserve">.</w:t>
            </w:r>
            <w:r>
              <w:rPr>
                <w:b w:val="0"/>
                <w:sz w:val="22"/>
                <w:szCs w:val="22"/>
              </w:rPr>
              <w:t xml:space="preserve">8 (423) 2-62-97-00 </w:t>
            </w:r>
            <w:r>
              <w:rPr>
                <w:b w:val="0"/>
                <w:sz w:val="22"/>
                <w:szCs w:val="22"/>
              </w:rPr>
              <w:t xml:space="preserve">,</w:t>
            </w:r>
            <w:r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эл.почта</w:t>
            </w:r>
            <w:r>
              <w:rPr>
                <w:b w:val="0"/>
                <w:sz w:val="22"/>
                <w:szCs w:val="22"/>
              </w:rPr>
              <w:t xml:space="preserve">:</w:t>
            </w:r>
            <w:r>
              <w:rPr>
                <w:b w:val="0"/>
                <w:color w:val="0c33f5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lang w:eastAsia="en-US"/>
              </w:rPr>
            </w:r>
            <w:hyperlink r:id="rId19" w:tooltip="http://shevchenko-ko@dgk.ru" w:history="1">
              <w:r>
                <w:rPr>
                  <w:rStyle w:val="1197"/>
                  <w:rFonts w:ascii="Times New Roman" w:hAnsi="Times New Roman" w:eastAsia="Times New Roman" w:cs="Times New Roman"/>
                  <w:b w:val="0"/>
                  <w:bCs w:val="0"/>
                  <w:color w:val="0c33f5"/>
                  <w:sz w:val="22"/>
                  <w:szCs w:val="22"/>
                  <w:lang w:eastAsia="en-US"/>
                </w:rPr>
                <w:t xml:space="preserve">shevchenko-ko@dgk.ru</w:t>
              </w:r>
              <w:r>
                <w:rPr>
                  <w:rStyle w:val="1197"/>
                  <w:rFonts w:ascii="Times New Roman" w:hAnsi="Times New Roman" w:eastAsia="Times New Roman" w:cs="Times New Roman"/>
                  <w:b w:val="0"/>
                  <w:bCs w:val="0"/>
                  <w:color w:val="0c33f5"/>
                  <w:sz w:val="22"/>
                  <w:szCs w:val="22"/>
                  <w:lang w:eastAsia="en-US"/>
                </w:rPr>
              </w:r>
              <w:r>
                <w:rPr>
                  <w:rStyle w:val="1197"/>
                  <w:b w:val="0"/>
                  <w:bCs w:val="0"/>
                  <w:color w:val="0c33f5"/>
                  <w:sz w:val="22"/>
                  <w:szCs w:val="22"/>
                  <w:highlight w:val="none"/>
                  <w:shd w:val="clear" w:color="auto" w:fill="auto"/>
                </w:rPr>
              </w:r>
              <w:r>
                <w:rPr>
                  <w:rStyle w:val="1197"/>
                  <w:rFonts w:ascii="Times New Roman" w:hAnsi="Times New Roman" w:eastAsia="Times New Roman" w:cs="Times New Roman"/>
                  <w:b w:val="0"/>
                  <w:bCs w:val="0"/>
                  <w:color w:val="0c33f5"/>
                  <w:sz w:val="22"/>
                  <w:szCs w:val="22"/>
                  <w:highlight w:val="none"/>
                  <w:shd w:val="clear" w:color="auto" w:fill="auto"/>
                </w:rPr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keepNext/>
              <w:rPr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Почтовый адрес: </w:t>
            </w:r>
            <w:r>
              <w:rPr>
                <w:i w:val="0"/>
                <w:iCs w:val="0"/>
                <w:sz w:val="22"/>
                <w:szCs w:val="22"/>
              </w:rPr>
              <w:t xml:space="preserve">690090</w:t>
            </w:r>
            <w:r>
              <w:rPr>
                <w:i w:val="0"/>
                <w:iCs w:val="0"/>
                <w:sz w:val="22"/>
                <w:szCs w:val="22"/>
              </w:rPr>
              <w:t xml:space="preserve">,</w:t>
            </w:r>
            <w:r>
              <w:rPr>
                <w:i w:val="0"/>
                <w:iCs w:val="0"/>
                <w:sz w:val="22"/>
                <w:szCs w:val="22"/>
              </w:rPr>
              <w:t xml:space="preserve"> Российская Федерация</w:t>
            </w:r>
            <w:r>
              <w:rPr>
                <w:i w:val="0"/>
                <w:iCs w:val="0"/>
                <w:sz w:val="22"/>
                <w:szCs w:val="22"/>
              </w:rPr>
              <w:t xml:space="preserve">, Приморский край, г. Владивосток, ул. Западная, 29</w:t>
            </w:r>
            <w:r>
              <w:rPr>
                <w:i w:val="0"/>
                <w:iCs w:val="0"/>
                <w:sz w:val="22"/>
                <w:szCs w:val="22"/>
              </w:rPr>
            </w:r>
            <w:r>
              <w:rPr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35" w:name="_Ref125368490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35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Некритичные пункты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роекта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оговора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Отсутствуют.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Внимание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!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Корректировка пунктов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роекта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оговора, не указанных в настоящем разделе, не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допускается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 Договор заключается в редакции </w:t>
            </w:r>
            <w:hyperlink w:tooltip="#Прил02_ПроектДоговора" w:anchor="Прил02_ПроектДоговора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Приложения № 2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8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Обеспечение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исполнения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Договора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229"/>
              <w:jc w:val="both"/>
              <w:spacing w:before="0" w:beforeAutospacing="0" w:after="0" w:afterAutospacing="0"/>
            </w:pPr>
            <w:r>
              <w:rPr>
                <w:b w:val="0"/>
                <w:i w:val="0"/>
                <w:iCs w:val="0"/>
                <w:sz w:val="22"/>
                <w:szCs w:val="22"/>
                <w:lang w:eastAsia="en-US"/>
              </w:rPr>
              <w:t xml:space="preserve">  </w:t>
            </w:r>
            <w:r>
              <w:rPr>
                <w:b w:val="0"/>
                <w:i w:val="0"/>
                <w:iCs w:val="0"/>
                <w:sz w:val="22"/>
                <w:szCs w:val="22"/>
                <w:lang w:eastAsia="en-US"/>
              </w:rPr>
              <w:t xml:space="preserve">  Не требуется.</w:t>
            </w:r>
            <w:r>
              <w:rPr>
                <w:b w:val="0"/>
                <w:i w:val="0"/>
                <w:iCs w:val="0"/>
                <w:sz w:val="22"/>
                <w:szCs w:val="22"/>
                <w:lang w:eastAsia="en-US"/>
              </w:rPr>
            </w:r>
            <w:r/>
          </w:p>
        </w:tc>
      </w:tr>
    </w:tbl>
    <w:p>
      <w:pPr>
        <w:pStyle w:val="118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389" w:name="_Toc6"/>
      <w:r>
        <w:rPr>
          <w:rFonts w:ascii="Times New Roman" w:hAnsi="Times New Roman" w:eastAsia="Times New Roman" w:cs="Times New Roman"/>
          <w:sz w:val="22"/>
          <w:szCs w:val="22"/>
        </w:rPr>
      </w:r>
      <w:bookmarkStart w:id="37" w:name="_Ref125360073"/>
      <w:r>
        <w:rPr>
          <w:rFonts w:ascii="Times New Roman" w:hAnsi="Times New Roman" w:eastAsia="Times New Roman" w:cs="Times New Roman"/>
          <w:sz w:val="22"/>
          <w:szCs w:val="22"/>
        </w:rPr>
      </w:r>
      <w:bookmarkStart w:id="38" w:name="_Ref125360337"/>
      <w:r>
        <w:rPr>
          <w:rFonts w:ascii="Times New Roman" w:hAnsi="Times New Roman" w:eastAsia="Times New Roman" w:cs="Times New Roman"/>
          <w:sz w:val="22"/>
          <w:szCs w:val="22"/>
        </w:rPr>
        <w:t xml:space="preserve">Общие положения</w:t>
      </w:r>
      <w:bookmarkEnd w:id="37"/>
      <w:r>
        <w:rPr>
          <w:rFonts w:ascii="Times New Roman" w:hAnsi="Times New Roman" w:eastAsia="Times New Roman" w:cs="Times New Roman"/>
          <w:sz w:val="22"/>
          <w:szCs w:val="22"/>
        </w:rPr>
      </w:r>
      <w:bookmarkEnd w:id="38"/>
      <w:r>
        <w:rPr>
          <w:rFonts w:ascii="Times New Roman" w:hAnsi="Times New Roman" w:eastAsia="Times New Roman" w:cs="Times New Roman"/>
          <w:sz w:val="22"/>
          <w:szCs w:val="22"/>
        </w:rPr>
      </w:r>
      <w:bookmarkEnd w:id="389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390" w:name="_Toc7"/>
      <w:r>
        <w:rPr>
          <w:rFonts w:ascii="Times New Roman" w:hAnsi="Times New Roman" w:eastAsia="Times New Roman" w:cs="Times New Roman"/>
          <w:sz w:val="22"/>
          <w:szCs w:val="22"/>
        </w:rPr>
        <w:t xml:space="preserve">Общие сведения о закупке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390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Организатор официально размещенным Извещением приглашает лиц, указанных в подразделе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, к участию в закупке на право заключения договора, предмет которого указан в том же подразделе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Требования к Участникам, а также к документам, подтверждающим соответствие установленным требованиям, приведены в разделе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instrText xml:space="preserve"> REF _Ref125361210 \r \h </w:instrTex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Документации о закупке.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Требования к поставляемой продукции, включая срок, объем и место поставки продукции, изложены в </w:t>
      </w:r>
      <w:hyperlink w:tooltip="#Прил01_ТехТребования" w:anchor="Прил01_ТехТребования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white"/>
          </w:rPr>
          <w:t xml:space="preserve">Технических требованиях (Приложение № 1)</w:t>
        </w:r>
      </w:hyperlink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hyperlink w:tooltip="#Прил02_ПроектДоговора" w:anchor="Прил02_ПроектДоговора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white"/>
          </w:rPr>
          <w:t xml:space="preserve">Проект договора</w:t>
        </w:r>
      </w:hyperlink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, который планируется заключить по результатам закупки, в том числе содержащий условия по форме, срокам и порядку оплаты, приведен 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hyperlink w:tooltip="#Прил02_ПроектДоговора" w:anchor="Прил02_ПроектДоговора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white"/>
          </w:rPr>
          <w:t xml:space="preserve">Приложении № 2</w:t>
        </w:r>
      </w:hyperlink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Подробная информация о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порядке проведения закупки и участия в ней, а также о порядке заключения Договора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приведены в разделах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instrText xml:space="preserve"> REF _Ref125361211 \r \h </w:instrTex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4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instrText xml:space="preserve"> REF _Ref126142429 \r \h </w:instrTex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5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, образцы основных форм документов, включаемых в заявку или предоставляемых Победителем, приведены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в Приложениях </w:t>
      </w:r>
      <w:hyperlink w:tooltip="#Прил04_ФормыЗаявки" w:anchor="Прил04_ФормыЗаявки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white"/>
          </w:rPr>
          <w:t xml:space="preserve">№ 4</w:t>
        </w:r>
      </w:hyperlink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, </w:t>
      </w:r>
      <w:hyperlink w:tooltip="#Прил05_ФормыПобедителя" w:anchor="Прил05_ФормыПобедителя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white"/>
          </w:rPr>
          <w:t xml:space="preserve">№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white"/>
          </w:rPr>
          <w:t xml:space="preserve"> 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white"/>
          </w:rPr>
          <w:t xml:space="preserve">5</w:t>
        </w:r>
      </w:hyperlink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391" w:name="_Toc8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Правовой статус документов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End w:id="391"/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Документация о закупке вместе с Извещением, являющимся ее неотъемлемой частью, являются публичной офертой Организатора в соответствии со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статьей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437 ГК РФ и должны рассматриваться Участниками в соответствии с этим до подведения итогов закупки. При наличии противоречий между положениями Извещения и Документации о закупке применяются положения Извещения.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Заявка Участника имеет правовой статус оферты и будет рассматриваться Организатором в течение указанного в ней срока ее действия.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42" w:name="_Ref125366985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При определении условий Дого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вора по результатам закупки использу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тся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иерархия документов, установленная в пункте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instrText xml:space="preserve"> REF _Ref132288402 \r \h </w:instrTex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5.2.8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end"/>
      </w:r>
      <w:bookmarkEnd w:id="42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Заключенный по результатам закупки Договор, в том числе, фиксирует все достигнутые сторонами договоренности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Во всем, что не урегулировано Извещением и Документацией о закупке, стороны руководствуются Законом 223-ФЗ и Положением о закупке (в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редакции, действующей на дату официального размещения Извещения).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сли в отношении сторон Договора, заключаемого по результатам закупки, действуют также специальные нормативные правовые акты, зарегистрированные в установленном порядке, Документация о закупке и заявка Победителя будут считаться приоритетными по отношению к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диспозитивным нормам указанных документов.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Иные документы Организатора и Участников не определяют права и обязанности сторон в связи с данной закупкой.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комиссии и иных работников Заказчика и Организатора относительно условий, сроков проведения, предмета настоящей закупки (за исключением информации, представляемой Участникам в соответствии с Положением о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закупке)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носят исключительно информационный характер и не являются офертой либо акцептом Организатора или Заказчика.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392" w:name="_Toc9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43" w:name="_Ref125363536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Обжалование</w:t>
      </w:r>
      <w:bookmarkEnd w:id="43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End w:id="392"/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Любой Участник, который заявляет, что понес или может понести убытки 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результате нарушения его прав Заказчиком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Организатором, отдельными членами Закупочной комиссии или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ператором ЭП, имеет право подать заявление о рассмотрении разногласий, связанных с проведением закуп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ки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До заключения Договора с Победителем заявления о рассмотрении разногласий направляются Участниками через круглосуточную «Линию доверия», посредством заполнения специальной формы на корпоративном сайте ПАО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«РусГидро» (вкладка «Линия доверия»), или сообщения информации по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указанному на корпоративном сайте телефону. На время рассмотрения разногласий процедура проведения закупки приостанавливается до вынесения решения, если тому нет явных препятствий юридического или экономического характера.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Если разногласия не разрешены по взаимному согласию представившего их Участника и Заказчика,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может быть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принят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одно из следующих решений: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обязать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Заказчика, Организатора,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и Положению о закупке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(в том числе, но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не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ограничиваясь, отменить составленные в ходе закупки протоколы, повторно рассмотреть заявки Участников)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;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признать заявление Участника необоснованным.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Участник вправе обжаловать действия (бездействие) Заказчика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Организатора, Закупочной комиссии,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ператора ЭП при проведении настоящей закупки 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антимонопольном органе в порядке, установленном законодательством.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сли обжалуемые действия (бездействие) совершены после окончания установленного срока подачи заявок (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подраздел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instrText xml:space="preserve"> \* MERGEFORMAT </w:instrTex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), обжалование таких действий (бездействия) может осуществляться только Участником, подавшим заявку на участие 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такой закупке.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на «Линию доверия»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антимонопольные органы, подлежат разрешению следующим образом: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по закупкам, проводимым закупочными комиссиями 1-го уровня – 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Арбитражном суде по месту нахождения Заказчика (либо соответствующего филиала Заказчика, для нужд которого проводится настоящая закупка);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по закупкам, проводимым закупочными комиссиями 2-го уровня, специальными закупочными комиссиями, закупочными комиссиями исполнительного аппарата ПАО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«РусГидро» – в Арбитражном суде г.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Москвы.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7"/>
        <w:ind w:left="1134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З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акупочн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ая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комисси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я определяется в соответствии с Положением о закупке.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393" w:name="_Toc10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Особые положения при проведении закупки с использованием ЭП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End w:id="393"/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Наименование ЭП, посредством которой проводится закупка, указано 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подразделе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. До подачи заявки Участник обязан ознакомиться с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Регламентом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ЭП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, опубликованными на сайте соответствующей ЭП.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Для участия в закупке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Участник должен пройти процедуру регистрации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Едином реестре участников закупок 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ЕИС в порядке, предусмотренным Законом 44-ФЗ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, т.е. быть зарегистрированным на ЭП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. Регистрация осуществляется Федеральным Казначейством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, и Организатор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(Заказчик)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не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несет ответственности за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результат ее прохождения Участником, в том числе понесенные им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затраты.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Правила проведения закупки в том числе определяются Регламентом ЭП.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Обмен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всей информаци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ей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, связанной с проведением закупки (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между Участником, Организатором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(Заказчиком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 и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ператором ЭП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осуществляется на ЭП 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форме электронных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документов, подписанных усиленной квалифицированной электронной подписью уполномоченного лица.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Стоимость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заявки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(цена Договора)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и иные условия закупки, указанные Участниками в специальных электронных формах на ЭП, имеют преимущество перед сведениями, указанными в загруженных на ЭП электронных документах.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394" w:name="_Toc11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Прочие положения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End w:id="394"/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Заказчик, Организатор и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ператор ЭП обеспечивают конфиденциальн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ость относительно всех полученных от Участников сведений, в том числе содержащихся в заявках. Предоставление этой информации другим Участникам или третьим лицам возможно только в случаях, прямо предусмотренных законодательством или Документацией о закупке.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Организатор (по решению Закупочной комиссии), вправе отклонить заявку, если будет установлено, что Участник каким-либо способом повлиял на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рассмотрение заявок, их оценку и сопоставление, подведение итогов закупки (определение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Победителя), в том числе прямо или косвенно дал, согласился дать или предложил работнику Организатора, Заказчика, члену Закупочной комиссии или эксперту, осуществлявшему экспертизу заявок, вознаграждение в любой форме: работу, услугу, какую-либо ценность 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качестве стимула, 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(или) оказал каким-либо иным образом давление на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указанных лиц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С целью предупреждения и противодействия противоправным действиям 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Группе РусГидро организована круглосуточная «Линия доверия», обратиться на которую можно по телефону +7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(495)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785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09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37 (круглосуточно), или заполнив соответствующую форму на корпоративном сайте ПАО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«РусГидро», вкладка «Линия доверия».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1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395" w:name="_Toc12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47" w:name="_Ref125361210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Требования к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У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частникам</w:t>
      </w:r>
      <w:bookmarkEnd w:id="47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End w:id="395"/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396" w:name="_Toc13"/>
      <w:r>
        <w:rPr>
          <w:rFonts w:ascii="Times New Roman" w:hAnsi="Times New Roman" w:eastAsia="Times New Roman" w:cs="Times New Roman"/>
          <w:sz w:val="22"/>
          <w:szCs w:val="22"/>
        </w:rPr>
      </w:r>
      <w:bookmarkStart w:id="49" w:name="_Ref127524530"/>
      <w:r>
        <w:rPr>
          <w:rFonts w:ascii="Times New Roman" w:hAnsi="Times New Roman" w:eastAsia="Times New Roman" w:cs="Times New Roman"/>
          <w:sz w:val="22"/>
          <w:szCs w:val="22"/>
        </w:rPr>
        <w:t xml:space="preserve">Общие требования к Участникам</w:t>
      </w:r>
      <w:bookmarkEnd w:id="49"/>
      <w:r>
        <w:rPr>
          <w:rFonts w:ascii="Times New Roman" w:hAnsi="Times New Roman" w:eastAsia="Times New Roman" w:cs="Times New Roman"/>
          <w:sz w:val="22"/>
          <w:szCs w:val="22"/>
        </w:rPr>
      </w:r>
      <w:bookmarkEnd w:id="396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51" w:name="_Ref125361514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Из лиц, указанных в подразделе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, участвовать в закупке может любое юридическое / физическое лицо (в том числе индивидуальный предприниматель), или несколько юридических / физических лиц, в том числе несколько индивидуальных предпринимателей, выступающих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на стороне одного участника закупки, независимо от их организационно-правовой формы, формы собственности, места нахождения и места происхождения капитала. Исключение составляют юридические / физические лица, являющиеся иностранным агентом в соответствии с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Законом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255-ФЗ – они не могут быть Участником, в том числе 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составе группы лиц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.</w:t>
      </w:r>
      <w:bookmarkEnd w:id="51"/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Однако, чтобы претендовать на победу в закупке Участник самостоятельно или Коллективный участник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(подраздел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instrText xml:space="preserve"> REF _Ref130308062 \r \h </w:instrTex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3.2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в целом должен отвечать требованиям, установленным 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Документации о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закупке.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Требования к Участникам установлены с учетом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предмета договора,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hyperlink w:tooltip="#Прил01_ТехТребования" w:anchor="Прил01_ТехТребования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white"/>
          </w:rPr>
          <w:t xml:space="preserve">Технических требований (Приложение № 1)</w:t>
        </w:r>
      </w:hyperlink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и </w:t>
      </w:r>
      <w:hyperlink w:tooltip="#Прил02_ПроектДоговора" w:anchor="Прил02_ПроектДоговора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white"/>
          </w:rPr>
          <w:t xml:space="preserve">Проекта договора (Приложение № 2)</w:t>
        </w:r>
      </w:hyperlink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Установлены следующие т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ребования к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Участникам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, которые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приведены 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hyperlink w:tooltip="#Прил03_ТребованияУчастникам" w:anchor="Прил03_ТребованияУчастникам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white"/>
          </w:rPr>
          <w:t xml:space="preserve">Приложении № 3</w:t>
        </w:r>
      </w:hyperlink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: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обязательные требования (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подраздел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instrText xml:space="preserve"> REF _Ref125361435 \r \h </w:instrTex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8.2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– Участник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должны им соответствовать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;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специальные требования –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Участники должны им соответствовать, если они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установлены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(подраздел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instrText xml:space="preserve"> REF _Ref125709153 \r \h </w:instrTex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8.3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рамках требований к Участникам могут быть установлены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дополнительные требования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: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к Коллективны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м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участникам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(подраздел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instrText xml:space="preserve"> REF _Ref130308111 \r \h </w:instrTex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3.2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;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к Генеральным подрядчикам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(подраздел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instrText xml:space="preserve"> REF _Ref125361702 \r \h </w:instrTex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3.3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52" w:name="_Ref125361969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53" w:name="_Ref125361976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Для подтверждения соответствия установленным требованиям Участник обязан приложить в составе заявки документы, перечисленные в </w:t>
      </w:r>
      <w:hyperlink w:tooltip="#Прил03_ТребованияУчастникам" w:anchor="Прил03_ТребованияУчастникам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white"/>
          </w:rPr>
          <w:t xml:space="preserve">Тр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white"/>
          </w:rPr>
          <w:t xml:space="preserve">ебованиях к Участникам (Приложение № 3)</w:t>
        </w:r>
      </w:hyperlink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, </w:t>
      </w:r>
      <w:bookmarkStart w:id="54" w:name="_Hlk132706049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если иное не установлено в Документации о закупке</w:t>
      </w:r>
      <w:bookmarkEnd w:id="54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397" w:name="_Toc14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55" w:name="_Ref130305355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56" w:name="_Ref130308062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57" w:name="_Ref130308111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58" w:name="_Ref130308203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59" w:name="_Ref130308255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Коллективные участники</w:t>
      </w:r>
      <w:bookmarkEnd w:id="52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End w:id="53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End w:id="55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End w:id="56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End w:id="57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End w:id="58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End w:id="59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End w:id="397"/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В закупке могут участвовать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объединения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юридически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х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(или)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физически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х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лиц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(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в том числе индивидуальные предприниматели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, способные на законных основаниях выполнить требуемую поставку продукции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– Коллективный участник.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Если заявка подается Коллективным участником, дополнительно должны быть выполнены требования настоящего подраздела, а также требования к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дополнительным документам, предоставляемым Коллективными участниками в составе заявки, установленные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подразделе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instrText xml:space="preserve"> REF _Ref125552455 \r \h </w:instrTex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8.4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white"/>
          </w:rPr>
          <w:t xml:space="preserve">Требований к Участникам (Приложение № 3)</w:t>
        </w:r>
      </w:hyperlink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61" w:name="_Ref125366972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Члены Коллективного участника заключают между собой соглашение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предоставляется Победителем Заказчику перед заключением Договора, 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соответствии с пунктом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instrText xml:space="preserve"> REF  _Ref125361554 \d ( \h \w </w:instrTex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5.2.5(г)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, соответствующее нормам ГК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РФ, и отвечающее следующим требованиям:</w:t>
      </w:r>
      <w:bookmarkEnd w:id="61"/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в соглашении должны быть определены права и обязанности сторон как 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рамках участия в закупке, так и в рамках исполнения Договора;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в соглашении должно быть приведено распределение номенклатуры, объемов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, с приведением % от общей стоимости продукции (без указания стоимости в рублях)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, а также сроков поставки продукции между членами Коллективного участника;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в соглашении должен быть определен лидер, который в дальнейшем представляет интересы каждого члена Коллективного участника во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взаимоотношениях с Организатором и Заказчиком;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в соглашении должна быть установлена солидарная ответственность каждого члена Коллективного участника по обязательствам, связанным с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участием в закупке, заключением и последующим исполнением Договора;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срок действия соглашения должен быть не менее срока исполнения обязательств Участника по Договору, предлагаемого в составе заявки;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соглашением должно быть предусмотрено, что все операции по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выполнению Договора в целом, включая платежи, совершаются исключительно с лидером, однако, по инициативе Заказчика и соглашению сторон, данная схема может быть изменена.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Заявка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подготавливается и подается лидером от своего имени со ссылкой 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Письме о подаче оферты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(форма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2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 (</w:t>
      </w:r>
      <w:hyperlink w:tooltip="#Прил04_ФормыЗаявки" w:anchor="Прил04_ФормыЗаявки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white"/>
          </w:rPr>
          <w:t xml:space="preserve">Приложение № 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white"/>
          </w:rPr>
          <w:t xml:space="preserve">4</w:t>
        </w:r>
      </w:hyperlink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на то, что он представляет интересы Коллективного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участника.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62" w:name="_Ref125368791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Каждый член Коллективного участника (включая лидера Коллективного участника) должен отвечать всем обязательным требованиям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к Участникам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(подраздел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instrText xml:space="preserve"> REF _Ref125361435 \r \h </w:instrTex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8.2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.</w:t>
      </w:r>
      <w:bookmarkEnd w:id="62"/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При рассмотрении Коллективного участника на соответствие специальным требованиям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к Участникам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(подраздел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instrText xml:space="preserve"> REF _Ref125709153 \r \h </w:instrTex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instrText xml:space="preserve"> \* MERGEFORMAT </w:instrTex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8.3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показатели,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в том числе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относящиеся к наличию специальных допусков, лицензий, членства 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саморегулируемых организациях, других разрешительных документов, должны быть в наличии у членов Коллективного участника, которым 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соответствии с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представленным 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Техническом предложении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Планом распределения объемов поставки продукции (форма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4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 (</w:t>
      </w:r>
      <w:hyperlink w:tooltip="#Прил04_ФормыЗаявки" w:anchor="Прил04_ФормыЗаявки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white"/>
          </w:rPr>
          <w:t xml:space="preserve">Приложение № 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white"/>
          </w:rPr>
          <w:t xml:space="preserve">4</w:t>
        </w:r>
      </w:hyperlink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будет поручена непосредственная поставка продукции, требующая наличия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указанных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специальных допусков, лицензий, разрешительных документов, членства 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саморегулируемых организациях 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соответствии с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законодательством (с уровнем ответственности пропорционально порученному объему поставки продукции).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63" w:name="_Ref135034010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При оценке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заявки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Коллективного участника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по квалификационным критериям оценки (в случае их установления в </w:t>
      </w:r>
      <w:hyperlink w:tooltip="#Прил08_ПорядокОценки" w:anchor="Прил08_ПорядокОценки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white"/>
          </w:rPr>
          <w:t xml:space="preserve">Порядке и критериях оценки и сопоставления заявок (Приложение № 8)</w:t>
        </w:r>
      </w:hyperlink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количественные параметры деятельности членов Коллективного участника (</w:t>
      </w:r>
      <w:bookmarkStart w:id="64" w:name="_Hlk132709364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наличие требуемого опыта,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обеспеченность материально-техническими ресурсами и кадровыми ресурсами</w:t>
      </w:r>
      <w:bookmarkEnd w:id="64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 суммируются.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Не подлежащие суммированию показатели, в том числе показатели, относящиеся к качественным характеристикам требуемого опыта, должны быть в наличии у членов Коллективного участника, которым 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соответствии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с представленным в Техническом предложении Планом распределения объемов поставки продукции (форма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4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 (</w:t>
      </w:r>
      <w:hyperlink w:tooltip="#Прил04_ФормыЗаявки" w:anchor="Прил04_ФормыЗаявки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white"/>
          </w:rPr>
          <w:t xml:space="preserve">Приложение № 4</w:t>
        </w:r>
      </w:hyperlink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будет поручена непосредственная поставка продукции, требующая наличия указанного опыта работы и других показателей, не подлежащих суммированию.</w:t>
      </w:r>
      <w:bookmarkEnd w:id="63"/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65" w:name="_Ref125361726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Любое юридическое или физическое лицо (в том числе индивидуальный предприниматель) может входить в состав только одного Коллективного участника и при этом не имеет права одновременно:</w:t>
      </w:r>
      <w:bookmarkEnd w:id="65"/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принимать участие в этой же закупке самостоятельно;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принимать участие в этой же закупке в качестве Генерального подрядчика или субподрядчика (подраздел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instrText xml:space="preserve"> REF _Ref125361702 \r \h </w:instrTex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3.3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).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7"/>
        <w:ind w:left="1134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В случае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невыполнения данного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требовани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я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все заявки с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участием таких лиц будут отклонены без рассмотрения по существу.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В случае несоответствия какого-либо из заявленных членов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Коллективного участника установленным требованиям (</w:t>
      </w:r>
      <w:hyperlink w:tooltip="#Прил03_ТребованияУчастникам" w:anchor="Прил03_ТребованияУчастникам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white"/>
          </w:rPr>
          <w:t xml:space="preserve">Приложени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white"/>
          </w:rPr>
          <w:t xml:space="preserve">е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white"/>
          </w:rPr>
          <w:t xml:space="preserve"> № 3</w:t>
        </w:r>
      </w:hyperlink>
      <w:r>
        <w:rPr>
          <w:rStyle w:val="1211"/>
          <w:rFonts w:ascii="Times New Roman" w:hAnsi="Times New Roman" w:eastAsia="Times New Roman" w:cs="Times New Roman"/>
          <w:sz w:val="22"/>
          <w:szCs w:val="22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а также при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несоблюдении вышеуказанных норм настоящего подраздела заявка такого Коллективного участника отклоняется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Заявка, которую подает Коллективный участник, может быть отклонена, если в процессе закупки до выбора Победителя выяснится, что из состава Коллективного участника вышел один или несколько его членов.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Заказчик имеет право на одностороннее расторжение / незаключение Договора, если из состава Коллективного участника вышел один или несколько его членов.</w:t>
      </w:r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398" w:name="_Toc15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66" w:name="_Ref125361702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Генеральные подрядчики</w:t>
      </w:r>
      <w:bookmarkEnd w:id="66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End w:id="398"/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Нормы настоящего подраздела применяются только, если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подразделом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предусмотрены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рассмотрение и оценка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заявок Участников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учетом привлекаемых субподрядчиков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Если заявка подается Участником от лица Генерального подрядчика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дополнительно должны быть выполнены требования настоящего подраздела, 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также требования 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дополнительным документам, предоставляемым таким Участником в составе заявки, установленные в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подразделе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_Ref125709777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8.5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Требований к Участникам (Приложение № 3)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Генеральный подрядчик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должен самостоятельно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отвечать всем обязательным требованиям 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Участникам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(подраздел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_Ref125361435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8.2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рамках специальных требований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(подраздел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_Ref125709153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8.3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касающихся членства в саморегулируемых организациях (в случае их установления), должен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иметь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соответствующ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членство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 учетом требований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законодательств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такому членству;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рамках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остальны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специальны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требовани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й (в случае их установления) должен отвечать им только в части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объема поставки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продукции, который ему предполагается поручить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в соответствии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 представленным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Техническом предложении Планом распределения объемов поставки продукции (форма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 (</w:t>
      </w:r>
      <w:hyperlink w:tooltip="#Прил04_ФормыЗаявки" w:anchor="Прил04_ФормыЗаявки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Приложение № 4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68" w:name="_Ref125368863"/>
      <w:r>
        <w:rPr>
          <w:rFonts w:ascii="Times New Roman" w:hAnsi="Times New Roman" w:eastAsia="Times New Roman" w:cs="Times New Roman"/>
          <w:sz w:val="22"/>
          <w:szCs w:val="22"/>
        </w:rPr>
        <w:t xml:space="preserve">Каждый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субподрядчик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из привлекаемы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Генеральным подрядчиком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должен отвечать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обязательным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требованиям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(подраздел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_Ref125361435 \r \h </w:instrText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\* MERGEFORMAT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8.2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специальным требованиям (подраздел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_Ref125709153 \r \h </w:instrText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\* MERGEFORMAT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8.3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(в случае их установления),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исключением требования о наличии членства в саморегулируемых организациях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left="113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 этом соответств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овать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специальным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требованиям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субподрядчик должен только в части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объема поставки продукции, который ему </w:t>
      </w:r>
      <w:bookmarkEnd w:id="68"/>
      <w:r>
        <w:rPr>
          <w:rFonts w:ascii="Times New Roman" w:hAnsi="Times New Roman" w:eastAsia="Times New Roman" w:cs="Times New Roman"/>
          <w:sz w:val="22"/>
          <w:szCs w:val="22"/>
        </w:rPr>
        <w:t xml:space="preserve">поруч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ен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в соответствии с представленным в Техническом предложении Планом распределения объемов поставки продукции (форма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 (</w:t>
      </w:r>
      <w:hyperlink w:tooltip="#Прил04_ФормыЗаявки" w:anchor="Прил04_ФормыЗаявки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Приложение № 4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 оценке и сопоставлении заявки Генерального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подрядчика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квалификационным критериям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если они установлены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</w:t>
      </w:r>
      <w:hyperlink w:tooltip="#Прил08_ПорядокОценки" w:anchor="Прил08_ПорядокОценки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Порядке и критериях оценки и сопоставления заявок (Приложение № 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8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)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количественные параметры деятельности Генерального подрядчика и субподрядчиков суммируются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наличие требуемого опыта, обеспеченность материально-техническими ресурсами и кадровыми ресурсами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69" w:name="_Ref125361799"/>
      <w:r>
        <w:rPr>
          <w:rFonts w:ascii="Times New Roman" w:hAnsi="Times New Roman" w:eastAsia="Times New Roman" w:cs="Times New Roman"/>
          <w:sz w:val="22"/>
          <w:szCs w:val="22"/>
        </w:rPr>
        <w:t xml:space="preserve">Любое юридическое или физическое лицо (в том числе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индивидуальный предприниматель) может являться субподрядчиком у произвольного числа Генеральных подрядчиков, а также имеет право самостоятельно принимать участие в закупке. При этом субподрядчики не могут входить в состав Коллективных участников (подраздел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_Ref130308203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3.2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участников. В случае невыполнения этих требований заявки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участием таких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лиц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будут отклонены без рассмотрения по существу.</w:t>
      </w:r>
      <w:bookmarkEnd w:id="69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Если подразделом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не предусмотрен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ы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рассмотрение и оценка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заявок Участников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учетом привлекаемых субподрядчиков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то при рассмотрении и оценке заявок к учету принимаются исключительно сведения о самом Участнике,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связи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чем Участник не обязан предоставлять документы 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привлекаемых им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субподрядчиков, указанные в подразделе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_Ref125709973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8.5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Требований к Участникам (Приложение № 3)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. Ответственность за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соответствие в ходе исполнения обязательств по Договору привлекаемых субподрядчиков требованиям Документации о закупке в этом случае возлагается на самого Участника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  <w:sectPr>
          <w:headerReference w:type="default" r:id="rId9"/>
          <w:footerReference w:type="default" r:id="rId11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399" w:name="_Toc16"/>
      <w:r>
        <w:rPr>
          <w:rFonts w:ascii="Times New Roman" w:hAnsi="Times New Roman" w:eastAsia="Times New Roman" w:cs="Times New Roman"/>
          <w:sz w:val="22"/>
          <w:szCs w:val="22"/>
        </w:rPr>
      </w:r>
      <w:bookmarkStart w:id="70" w:name="_Ref125361211"/>
      <w:r>
        <w:rPr>
          <w:rFonts w:ascii="Times New Roman" w:hAnsi="Times New Roman" w:eastAsia="Times New Roman" w:cs="Times New Roman"/>
          <w:sz w:val="22"/>
          <w:szCs w:val="22"/>
        </w:rPr>
      </w:r>
      <w:bookmarkStart w:id="71" w:name="_Ref125367098"/>
      <w:r>
        <w:rPr>
          <w:rFonts w:ascii="Times New Roman" w:hAnsi="Times New Roman" w:eastAsia="Times New Roman" w:cs="Times New Roman"/>
          <w:sz w:val="22"/>
          <w:szCs w:val="22"/>
        </w:rPr>
      </w:r>
      <w:bookmarkStart w:id="72" w:name="_Ref125367107"/>
      <w:r>
        <w:rPr>
          <w:rFonts w:ascii="Times New Roman" w:hAnsi="Times New Roman" w:eastAsia="Times New Roman" w:cs="Times New Roman"/>
          <w:sz w:val="22"/>
          <w:szCs w:val="22"/>
        </w:rPr>
      </w:r>
      <w:bookmarkStart w:id="73" w:name="_Ref125367974"/>
      <w:r>
        <w:rPr>
          <w:rFonts w:ascii="Times New Roman" w:hAnsi="Times New Roman" w:eastAsia="Times New Roman" w:cs="Times New Roman"/>
          <w:sz w:val="22"/>
          <w:szCs w:val="22"/>
        </w:rPr>
        <w:t xml:space="preserve">Порядок проведения закупки</w:t>
      </w:r>
      <w:bookmarkEnd w:id="70"/>
      <w:r>
        <w:rPr>
          <w:rFonts w:ascii="Times New Roman" w:hAnsi="Times New Roman" w:eastAsia="Times New Roman" w:cs="Times New Roman"/>
          <w:sz w:val="22"/>
          <w:szCs w:val="22"/>
        </w:rPr>
      </w:r>
      <w:bookmarkEnd w:id="71"/>
      <w:r>
        <w:rPr>
          <w:rFonts w:ascii="Times New Roman" w:hAnsi="Times New Roman" w:eastAsia="Times New Roman" w:cs="Times New Roman"/>
          <w:sz w:val="22"/>
          <w:szCs w:val="22"/>
        </w:rPr>
      </w:r>
      <w:bookmarkEnd w:id="72"/>
      <w:r>
        <w:rPr>
          <w:rFonts w:ascii="Times New Roman" w:hAnsi="Times New Roman" w:eastAsia="Times New Roman" w:cs="Times New Roman"/>
          <w:sz w:val="22"/>
          <w:szCs w:val="22"/>
        </w:rPr>
      </w:r>
      <w:bookmarkEnd w:id="73"/>
      <w:r>
        <w:rPr>
          <w:rFonts w:ascii="Times New Roman" w:hAnsi="Times New Roman" w:eastAsia="Times New Roman" w:cs="Times New Roman"/>
          <w:sz w:val="22"/>
          <w:szCs w:val="22"/>
        </w:rPr>
      </w:r>
      <w:bookmarkEnd w:id="399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00" w:name="_Toc17"/>
      <w:r>
        <w:rPr>
          <w:rFonts w:ascii="Times New Roman" w:hAnsi="Times New Roman" w:eastAsia="Times New Roman" w:cs="Times New Roman"/>
          <w:sz w:val="22"/>
          <w:szCs w:val="22"/>
        </w:rPr>
      </w:r>
      <w:bookmarkStart w:id="75" w:name="_Ref126141932"/>
      <w:r>
        <w:rPr>
          <w:rFonts w:ascii="Times New Roman" w:hAnsi="Times New Roman" w:eastAsia="Times New Roman" w:cs="Times New Roman"/>
          <w:sz w:val="22"/>
          <w:szCs w:val="22"/>
        </w:rPr>
        <w:t xml:space="preserve">Общий порядок проведения закупки</w:t>
      </w:r>
      <w:bookmarkEnd w:id="75"/>
      <w:r>
        <w:rPr>
          <w:rFonts w:ascii="Times New Roman" w:hAnsi="Times New Roman" w:eastAsia="Times New Roman" w:cs="Times New Roman"/>
          <w:sz w:val="22"/>
          <w:szCs w:val="22"/>
        </w:rPr>
      </w:r>
      <w:bookmarkEnd w:id="400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keepNext/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Закупка проводится в следующем порядке: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Style w:val="1208"/>
        <w:tblW w:w="0" w:type="auto"/>
        <w:tblInd w:w="1129" w:type="dxa"/>
        <w:tblLayout w:type="autofi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2041"/>
        <w:gridCol w:w="1176"/>
        <w:gridCol w:w="3218"/>
        <w:gridCol w:w="2694"/>
        <w:gridCol w:w="2268"/>
        <w:gridCol w:w="2236"/>
      </w:tblGrid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sz w:val="22"/>
                <w:szCs w:val="22"/>
              </w:rPr>
              <w:t xml:space="preserve">Ô</w:t>
            </w:r>
            <w:r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r>
          </w:p>
        </w:tc>
        <w:tc>
          <w:tcPr>
            <w:gridSpan w:val="6"/>
            <w:tcBorders>
              <w:bottom w:val="single" w:color="7F7F7F" w:themeColor="text1" w:themeTint="80" w:sz="4" w:space="0"/>
              <w:right w:val="none" w:color="000000" w:sz="4" w:space="0"/>
            </w:tcBorders>
            <w:tcW w:w="13633" w:type="dxa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sz w:val="22"/>
                <w:szCs w:val="22"/>
              </w:rPr>
              <w:t xml:space="preserve">Официальное размещение Извещения и Документации о закупке (подраздел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instrText xml:space="preserve"> REF _Ref130286532 \r \h </w:instrTex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fldChar w:fldCharType="separate"/>
            </w:r>
            <w:r>
              <w:rPr>
                <w:b w:val="0"/>
                <w:bCs w:val="0"/>
                <w:sz w:val="22"/>
                <w:szCs w:val="22"/>
              </w:rPr>
              <w:t xml:space="preserve">4.2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gridSpan w:val="3"/>
            <w:tcW w:w="6435" w:type="dxa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Подготовка заявки (подраздел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instrText xml:space="preserve"> REF _Ref130281199 \r \h </w:instrTex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Предоставление разъяснений положений Документации о закупке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  <w:t xml:space="preserve">(подраздел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instrText xml:space="preserve"> REF _Ref130394205 \r \h </w:instrTex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2"/>
                <w:szCs w:val="22"/>
              </w:rPr>
              <w:t xml:space="preserve">(опциональная процедура закупки)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Внесение изменений в Извещение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(или)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 Документацию о закупке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  <w:t xml:space="preserve">(подраздел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instrText xml:space="preserve"> REF _Ref125362076 \r \h </w:instrTex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2"/>
                <w:szCs w:val="22"/>
              </w:rPr>
              <w:t xml:space="preserve">(опциональная процедура закупки)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restart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Отказ от проведения закупки (отмена закупки)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  <w:t xml:space="preserve">(подраздел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instrText xml:space="preserve"> REF _Ref132816134 \r \h </w:instrTex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4.17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2"/>
                <w:szCs w:val="22"/>
              </w:rPr>
              <w:t xml:space="preserve">(опциональная процедура закупки)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W w:w="2041" w:type="dxa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Подача заявок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и их прием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  <w:t xml:space="preserve">(подраздел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instrText xml:space="preserve"> REF _Ref125362119 \r \h </w:instrTex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gridSpan w:val="2"/>
            <w:tcW w:w="4394" w:type="dxa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Изменение и отзыв заявок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  <w:t xml:space="preserve">(подраздел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instrText xml:space="preserve"> REF _Ref125362130 \r \h  \* MERGEFORMAT </w:instrTex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4.7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2"/>
                <w:szCs w:val="22"/>
              </w:rPr>
              <w:t xml:space="preserve">(опциональная процедура закупки)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gridSpan w:val="5"/>
            <w:tcW w:w="11397" w:type="dxa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Открытия доступа к первым частям заявок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(подраздел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instrText xml:space="preserve"> REF _Ref132816188 \r \h </w:instrTex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4.8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bottom w:val="none" w:color="000000" w:sz="4" w:space="0"/>
              <w:right w:val="none" w:color="000000" w:sz="4" w:space="0"/>
            </w:tcBorders>
            <w:tcW w:w="2236" w:type="dxa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gridSpan w:val="2"/>
            <w:tcW w:w="3217" w:type="dxa"/>
            <w:vAlign w:val="center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Рас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смотрение первых частей заявок / окончательных предложений (отборочная стадия)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(подраздел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instrText xml:space="preserve"> REF _Ref125362364 \r \h  \* MERGEFORMAT </w:instrTex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4.9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W w:w="3218" w:type="dxa"/>
            <w:vAlign w:val="center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Применение законодательства о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национальном режиме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(предоставление национального режима или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запрета)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(подраздел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instrText xml:space="preserve"> REF _Ref132816300 \r \h </w:instrTex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4.14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Направление дополнительных запросов разъяснений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заявок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  <w:t xml:space="preserve">(подраздел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instrText xml:space="preserve"> REF _Ref125362381 \r \h  \* MERGEFORMAT </w:instrTex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4.12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Признание закупки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  <w:t xml:space="preserve">несостоявшейся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  <w:t xml:space="preserve">(подраздел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instrText xml:space="preserve"> REF _Ref125364149 \r \h  \* MERGEFORMAT </w:instrTex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4.16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2"/>
                <w:szCs w:val="22"/>
              </w:rPr>
              <w:t xml:space="preserve">(опциональная процедура закупки)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236" w:type="dxa"/>
            <w:vAlign w:val="center"/>
            <w:vMerge w:val="restart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Отказ от проведения закупки (отмена закупки) по обстоятельствам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непреодолимой силы в соответствии с гражданским законодательством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  <w:t xml:space="preserve">(подраздел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instrText xml:space="preserve"> REF _Ref132816141 \r \h  \* MERGEFORMAT </w:instrTex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4.17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2"/>
                <w:szCs w:val="22"/>
              </w:rPr>
              <w:t xml:space="preserve">(опциональная процедура закупки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gridSpan w:val="3"/>
            <w:tcW w:w="6435" w:type="dxa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Открытие доступа ко вторым частям заявок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ценовым предложениям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(подраздел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instrText xml:space="preserve"> REF _Ref132801184 \r \h  \* MERGEFORMAT </w:instrTex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4.10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gridSpan w:val="2"/>
            <w:tcBorders>
              <w:bottom w:val="single" w:color="7F7F7F" w:themeColor="text1" w:themeTint="80" w:sz="4" w:space="0"/>
            </w:tcBorders>
            <w:tcW w:w="3217" w:type="dxa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Рассмотрение вторых частей заявок (отборочная стадия), в том числе (при необходимости) проведение аккредитации,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  <w:t xml:space="preserve">и ценовых предложений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(подраздел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instrText xml:space="preserve"> REF _Ref132797154 \r \h </w:instrTex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4.11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bottom w:val="single" w:color="7F7F7F" w:themeColor="text1" w:themeTint="80" w:sz="4" w:space="0"/>
            </w:tcBorders>
            <w:tcW w:w="3218" w:type="dxa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Применение законодательства о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национальном режиме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(предоставление национального режима или запрета)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(подраздел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instrText xml:space="preserve"> REF _Ref132816300 \r \h </w:instrTex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4.14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627"/>
        </w:trPr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W w:w="2041" w:type="dxa"/>
            <w:vAlign w:val="center"/>
            <w:vMerge w:val="restart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Оценка и сопоставлени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 заявок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  <w:t xml:space="preserve">(подраздел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instrText xml:space="preserve"> REF _Ref125362626 \r \h  \* MERGEFORMAT </w:instrTex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4.13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gridSpan w:val="2"/>
            <w:tcW w:w="4394" w:type="dxa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Применение законодательства о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национальном режиме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(в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части учета установленного преимущества в цене предложения, если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применимо)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(подраздел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instrText xml:space="preserve"> REF _Ref132816300 \r \h </w:instrTex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4.14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gridSpan w:val="4"/>
            <w:tcW w:w="9129" w:type="dxa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Подведение итогов закупки (определение Победителя) (подраздел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instrText xml:space="preserve"> REF _Ref125362658 \r \h </w:instrTex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4.15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u w:val="single"/>
              </w:rPr>
              <w:t xml:space="preserve">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W w:w="2041" w:type="dxa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Заключение Договора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(подраздел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instrText xml:space="preserve"> REF _Ref138341423 \r \h  \* MERGEFORMAT </w:instrTex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5.2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gridSpan w:val="2"/>
            <w:tcW w:w="4394" w:type="dxa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Применение законодательства о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национальном режиме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(в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части ограничения на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стадии заключения договора)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(подраздел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instrText xml:space="preserve"> REF _Ref132816300 \r \h </w:instrTex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4.14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gridSpan w:val="3"/>
            <w:tcBorders>
              <w:right w:val="none" w:color="000000" w:sz="4" w:space="0"/>
            </w:tcBorders>
            <w:tcW w:w="7198" w:type="dxa"/>
            <w:textDirection w:val="lrTb"/>
            <w:noWrap w:val="false"/>
          </w:tcPr>
          <w:p>
            <w:pPr>
              <w:pStyle w:val="1187"/>
              <w:jc w:val="center"/>
              <w:spacing w:before="40" w:after="4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Уклонение Победителя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 заключения Договора (подраздел 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instrText xml:space="preserve"> REF _Ref125367068 \r \h </w:instrTex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5.3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2"/>
                <w:szCs w:val="22"/>
              </w:rPr>
              <w:t xml:space="preserve">(опциональная процедура закупки)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</w:tr>
    </w:tbl>
    <w:p>
      <w:pPr>
        <w:pStyle w:val="118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77" w:name="_Ref125362061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rPr>
          <w:rFonts w:ascii="Times New Roman" w:hAnsi="Times New Roman" w:cs="Times New Roman"/>
          <w:sz w:val="22"/>
          <w:szCs w:val="22"/>
        </w:rPr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01" w:name="_Toc18"/>
      <w:r>
        <w:rPr>
          <w:rFonts w:ascii="Times New Roman" w:hAnsi="Times New Roman" w:eastAsia="Times New Roman" w:cs="Times New Roman"/>
          <w:sz w:val="22"/>
          <w:szCs w:val="22"/>
        </w:rPr>
      </w:r>
      <w:bookmarkStart w:id="78" w:name="_Ref130286532"/>
      <w:r>
        <w:rPr>
          <w:rFonts w:ascii="Times New Roman" w:hAnsi="Times New Roman" w:eastAsia="Times New Roman" w:cs="Times New Roman"/>
          <w:sz w:val="22"/>
          <w:szCs w:val="22"/>
        </w:rPr>
        <w:t xml:space="preserve">Официальное размещение Извещения и Документации о закупке</w:t>
      </w:r>
      <w:bookmarkEnd w:id="77"/>
      <w:r>
        <w:rPr>
          <w:rFonts w:ascii="Times New Roman" w:hAnsi="Times New Roman" w:eastAsia="Times New Roman" w:cs="Times New Roman"/>
          <w:sz w:val="22"/>
          <w:szCs w:val="22"/>
        </w:rPr>
      </w:r>
      <w:bookmarkEnd w:id="78"/>
      <w:r>
        <w:rPr>
          <w:rFonts w:ascii="Times New Roman" w:hAnsi="Times New Roman" w:eastAsia="Times New Roman" w:cs="Times New Roman"/>
          <w:sz w:val="22"/>
          <w:szCs w:val="22"/>
        </w:rPr>
      </w:r>
      <w:bookmarkEnd w:id="401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Извещение и Документация о закупке официально размещены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на Официальном сайте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ЕИС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 доступны для ознакомления без взимания платы. Иные публикации не влекут для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Организатора никаких последствий.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 возникновении технических или иных неполадок, блокирующих доступ к Официальному сайту (ЕИС) в течение более чем 1 (одного) рабочего дня, информация размещается на официальном сайте Заказчика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последующим размещением ее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на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Официальном сайте (ЕИС) в течение 1 (одного) рабочего дня со дня устранения указанных неполадок.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80" w:name="_Ref125362785"/>
      <w:r>
        <w:rPr>
          <w:rFonts w:ascii="Times New Roman" w:hAnsi="Times New Roman" w:eastAsia="Times New Roman" w:cs="Times New Roman"/>
          <w:sz w:val="22"/>
          <w:szCs w:val="22"/>
        </w:rPr>
        <w:t xml:space="preserve">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частники могут получить Документацию о закупке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также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через ЭП. Порядок получения информации через ЭП определяется Регламентом ЭП,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использованием которой проводится закупка.</w:t>
      </w:r>
      <w:bookmarkEnd w:id="80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02" w:name="_Toc19"/>
      <w:r>
        <w:rPr>
          <w:rFonts w:ascii="Times New Roman" w:hAnsi="Times New Roman" w:eastAsia="Times New Roman" w:cs="Times New Roman"/>
          <w:sz w:val="22"/>
          <w:szCs w:val="22"/>
        </w:rPr>
      </w:r>
      <w:bookmarkStart w:id="87" w:name="_Ref130281199"/>
      <w:r>
        <w:rPr>
          <w:rFonts w:ascii="Times New Roman" w:hAnsi="Times New Roman" w:eastAsia="Times New Roman" w:cs="Times New Roman"/>
          <w:sz w:val="22"/>
          <w:szCs w:val="22"/>
        </w:rPr>
      </w:r>
      <w:bookmarkStart w:id="88" w:name="_Ref130394681"/>
      <w:r>
        <w:rPr>
          <w:rFonts w:ascii="Times New Roman" w:hAnsi="Times New Roman" w:eastAsia="Times New Roman" w:cs="Times New Roman"/>
          <w:sz w:val="22"/>
          <w:szCs w:val="22"/>
        </w:rPr>
        <w:t xml:space="preserve">Подготовка заявки</w:t>
      </w:r>
      <w:bookmarkEnd w:id="87"/>
      <w:r>
        <w:rPr>
          <w:rFonts w:ascii="Times New Roman" w:hAnsi="Times New Roman" w:eastAsia="Times New Roman" w:cs="Times New Roman"/>
          <w:sz w:val="22"/>
          <w:szCs w:val="22"/>
        </w:rPr>
      </w:r>
      <w:bookmarkEnd w:id="88"/>
      <w:r>
        <w:rPr>
          <w:rFonts w:ascii="Times New Roman" w:hAnsi="Times New Roman" w:eastAsia="Times New Roman" w:cs="Times New Roman"/>
          <w:sz w:val="22"/>
          <w:szCs w:val="22"/>
        </w:rPr>
      </w:r>
      <w:bookmarkEnd w:id="402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Участник должен подготовить заявку с учетом требований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Документации о закупке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Участник самостоятельно несет все расходы, связанные с подготовкой и подачей заявки (подраздел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_Ref125362119 \r \h </w:instrText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\* MERGEFORMAT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sz w:val="22"/>
          <w:szCs w:val="22"/>
        </w:rPr>
        <w:t xml:space="preserve">4.6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), а Организатор (Заказчик) по этим расходам не отвеч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ает и не имеет обязательств (в том числе по возврату Участнику материалов и документов, входящих в состав его заявки), независимо от хода и результатов закупки, за исключением случаев, прямо предусмотренных Положением о закупке или Документацией о закупке.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90" w:name="_Ref125365866"/>
      <w:r>
        <w:rPr>
          <w:rFonts w:ascii="Times New Roman" w:hAnsi="Times New Roman" w:eastAsia="Times New Roman" w:cs="Times New Roman"/>
          <w:sz w:val="22"/>
          <w:szCs w:val="22"/>
        </w:rPr>
        <w:t xml:space="preserve">Участник должен подготовить заявку, включающую в себя полный комплект документов согласно перечню, определенному </w:t>
      </w:r>
      <w:hyperlink w:tooltip="#Прил06_СоставЗаявки" w:anchor="Прил06_СоставЗаявки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Приложением № 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6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 – Состав заявки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. Образцы форм документов, включаемых в состав заявки, а также инструкции по их подготовке, приведены в </w:t>
      </w:r>
      <w:hyperlink w:tooltip="#Прил04_ФормыЗаявки" w:anchor="Прил04_ФормыЗаявки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Приложение № 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4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Непосредственно перед подачей заявки Участник должен разделить подготовленные документы на отдельные части: </w:t>
      </w:r>
      <w:bookmarkStart w:id="91" w:name="_Hlk132886098"/>
      <w:r>
        <w:rPr>
          <w:rFonts w:ascii="Times New Roman" w:hAnsi="Times New Roman" w:eastAsia="Times New Roman" w:cs="Times New Roman"/>
          <w:sz w:val="22"/>
          <w:szCs w:val="22"/>
        </w:rPr>
        <w:t xml:space="preserve">первую часть, вторую часть и ценовое предложение</w:t>
      </w:r>
      <w:bookmarkEnd w:id="91"/>
      <w:r>
        <w:rPr>
          <w:rFonts w:ascii="Times New Roman" w:hAnsi="Times New Roman" w:eastAsia="Times New Roman" w:cs="Times New Roman"/>
          <w:sz w:val="22"/>
          <w:szCs w:val="22"/>
        </w:rPr>
        <w:t xml:space="preserve"> в соответствии с перечнем документов, входящих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каждую из частей,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определенному </w:t>
      </w:r>
      <w:hyperlink w:tooltip="#Прил06_СоставЗаявки" w:anchor="Прил06_СоставЗаявки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Приложением № 6 – Состав заявки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первую часть заявки должны входить документы, содержащие исключительно описание предлагаемой к поставке продукции, которая является предметом настоящей закупки (без указания сведений об Участнике 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 его ценовом предложении), в том числе сведения по результатам проведения предзаявочного обсуждения или обсуждения заявок (в случае проведения), а также информаци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 документы, необходимые для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осуществления оценки заявки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отношении предлагаемой к поставке продукции (в случае установления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оответствующих критериев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оценки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hyperlink w:tooltip="#Прил08_ПорядокОценки" w:anchor="Прил08_ПорядокОценки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Порядке и критериях оценки и сопоставления заявок (Приложение № 8)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Во вторую часть заявки должны входить документы, содержащие сведения об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Участнике и информацию о его соответствии требованиям Документации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закупке, копии документов, подтверждающих соответствие поставляемой продукции, требованиям Документации о закупке, установленным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соответствии с законодательством (в случае установления таких требований в Документации о закупке), а также информаци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 документы, необходимые для осуществления оценки заявки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отношении Участника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случае установления соответствующих критериев оценки в </w:t>
      </w:r>
      <w:hyperlink w:tooltip="#Прил08_ПорядокОценки" w:anchor="Прил08_ПорядокОценки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Порядке и критериях оценки и сопоставления заявок (Приложение № 8)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 этом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документы, входящие в состав первой части заявки, не должны подаваться на фирменном бланке Участника или иным образом содержать сведения, идентифицирующие его (наименование, адрес местонахождения, номер контактного телефона, адрес электронной почты, сайт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информационно-телекоммуникационной сети «Интернет» и т.п.).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случае обнаружения в первой части заявки сведений об Участнике 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его ценовом предложении, такая заявка подлежит отклонению.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92" w:name="_Ref130394854"/>
      <w:r>
        <w:rPr>
          <w:rFonts w:ascii="Times New Roman" w:hAnsi="Times New Roman" w:eastAsia="Times New Roman" w:cs="Times New Roman"/>
          <w:sz w:val="22"/>
          <w:szCs w:val="22"/>
        </w:rPr>
        <w:t xml:space="preserve">Участник имеет право подать только одну за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явку. При этом не допускается подача заявки на часть лота по отдельным видам или объемам продукции. В случае нарушения этого требования (при получении двух и более заявок от одного Участника в рамках одного лота) все поданные им заявки подлежат отклонению.</w:t>
      </w:r>
      <w:bookmarkEnd w:id="90"/>
      <w:r>
        <w:rPr>
          <w:rFonts w:ascii="Times New Roman" w:hAnsi="Times New Roman" w:eastAsia="Times New Roman" w:cs="Times New Roman"/>
          <w:sz w:val="22"/>
          <w:szCs w:val="22"/>
        </w:rPr>
      </w:r>
      <w:bookmarkEnd w:id="92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93" w:name="_Ref125361260"/>
      <w:r>
        <w:rPr>
          <w:rFonts w:ascii="Times New Roman" w:hAnsi="Times New Roman" w:eastAsia="Times New Roman" w:cs="Times New Roman"/>
          <w:sz w:val="22"/>
          <w:szCs w:val="22"/>
        </w:rPr>
      </w:r>
      <w:bookmarkStart w:id="94" w:name="_Ref125362071"/>
      <w:r>
        <w:rPr>
          <w:rFonts w:ascii="Times New Roman" w:hAnsi="Times New Roman" w:eastAsia="Times New Roman" w:cs="Times New Roman"/>
          <w:sz w:val="22"/>
          <w:szCs w:val="22"/>
        </w:rPr>
      </w:r>
      <w:bookmarkStart w:id="95" w:name="_Ref125366672"/>
      <w:r>
        <w:rPr>
          <w:rFonts w:ascii="Times New Roman" w:hAnsi="Times New Roman" w:eastAsia="Times New Roman" w:cs="Times New Roman"/>
          <w:sz w:val="22"/>
          <w:szCs w:val="22"/>
        </w:rPr>
        <w:t xml:space="preserve">Заявка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должна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быть действительна в течение срока проведения закупки и до истечения срока, отведенного на заключение Договора (пункт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_Ref130293821 \r \h </w:instrText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\* MERGEFORMAT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5.2.1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). В любом случае этот срок должен быть не менее чем 90 (девяносто) календарных дней с даты окончания срока подачи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(подраздел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\* MERGEFORMAT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). Указание меньшего срока действия заявки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Письме о подаче оферты (форма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2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 (</w:t>
      </w:r>
      <w:hyperlink w:tooltip="#Прил04_ФормыЗаявки" w:anchor="Прил04_ФормыЗаявки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Приложение № 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4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) может служить основанием для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отклонения заявки.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Все документы, входящие в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состав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заявк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должны быть подготовлены 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русском языке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Исключение составляют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документы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оригиналы которых выданы Участнику третьими лицами на ином языке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 они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могут быть представлены на языке оригинала при условии, что к ним приложен перевод этих документов 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русский язык (в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специально оговоренных случаях –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апостилем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согласно Гаагской конвенции 1961 года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). Наличие противоречий между оригиналом документа и его переводом, которые искажают содержание представленного документа, будет расцениваться Организатором как предоставление недостоверных сведений. Организатор вправе не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рассматривать документы, не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переведенные на русский язык.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Все суммы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денежных средств в документах, входящих в состав заявки, должны быть выражены в российских рублях. Исключение составляют документы, оригиналы которых выданы Участнику третьими лицами с выражением сумм денежных средств в иных валютах: они могут быть предст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авлены в валюте оригинала при условии, что к ним будут приложены комментарии с переводом этих сумм в российские рубли (по официальному курсу валюты, установленному Центральным банком Российской Федерации на дату выдачи документа, с указанием такого курса).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96" w:name="_Ref125370700"/>
      <w:r>
        <w:rPr>
          <w:rFonts w:ascii="Times New Roman" w:hAnsi="Times New Roman" w:eastAsia="Times New Roman" w:cs="Times New Roman"/>
          <w:sz w:val="22"/>
          <w:szCs w:val="22"/>
        </w:rPr>
      </w:r>
      <w:bookmarkStart w:id="97" w:name="_Ref125370708"/>
      <w:r>
        <w:rPr>
          <w:rFonts w:ascii="Times New Roman" w:hAnsi="Times New Roman" w:eastAsia="Times New Roman" w:cs="Times New Roman"/>
          <w:sz w:val="22"/>
          <w:szCs w:val="22"/>
        </w:rPr>
        <w:t xml:space="preserve">Итоговая стоимость заявки (цена Договора) без учета НДС не должна превышать установленную Заказчиком НМЦ (подраздел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\* MERGEFORMAT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), в противном случае заявка будет отклонена.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Итоговая стоимость заявки (цена Договора) должна включать в себя сумму всех расходов, предусмотренных </w:t>
      </w:r>
      <w:hyperlink w:tooltip="#Прил01_ТехТребования" w:anchor="Прил01_ТехТребования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Техническими требованиями (Приложение № 1)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 и </w:t>
      </w:r>
      <w:hyperlink w:tooltip="#Прил02_ПроектДоговора" w:anchor="Прил02_ПроектДоговора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Проектом договора (Приложение № 2)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, а также сумму налогов и других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обязательных платежей, подлежащих уплате в соответствии с нормами законодательства (если иное не установлено Документацией о закупке). При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этом сумма НДС (в случае его уплаты) выделяется отдельно и не входит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итоговую стоимость заявки Участника, являющегося плательщиком НДС.</w:t>
      </w:r>
      <w:bookmarkEnd w:id="96"/>
      <w:r>
        <w:rPr>
          <w:rFonts w:ascii="Times New Roman" w:hAnsi="Times New Roman" w:eastAsia="Times New Roman" w:cs="Times New Roman"/>
          <w:sz w:val="22"/>
          <w:szCs w:val="22"/>
        </w:rPr>
      </w:r>
      <w:bookmarkEnd w:id="97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качестве Технического предложения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Участник в составе заявк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предоставляет по установленной форме (форма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4; </w:t>
      </w:r>
      <w:hyperlink w:tooltip="#Прил04_ФормыЗаявки" w:anchor="Прил04_ФормыЗаявки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Приложение № 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4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) согласие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(декларацию) на поставку продукции на условиях, указанных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Документации о закупке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в том числе в </w:t>
      </w:r>
      <w:hyperlink w:tooltip="#Прил01_ТехТребования" w:anchor="Прил01_ТехТребования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Технических требованиях (Приложение №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 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1)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 не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подлежащих изменению по результатам проведения закупки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без подробных предложений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В случае нарушения Участником требований к описанию продукции Организатор вправе отклонить заявку такого Участника от дальнейшего участия в закупке.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101" w:name="_Ref125370398"/>
      <w:r>
        <w:rPr>
          <w:rFonts w:ascii="Times New Roman" w:hAnsi="Times New Roman" w:eastAsia="Times New Roman" w:cs="Times New Roman"/>
          <w:sz w:val="22"/>
          <w:szCs w:val="22"/>
        </w:rPr>
      </w:r>
      <w:bookmarkStart w:id="102" w:name="_Ref125714384"/>
      <w:r>
        <w:rPr>
          <w:rFonts w:ascii="Times New Roman" w:hAnsi="Times New Roman" w:eastAsia="Times New Roman" w:cs="Times New Roman"/>
          <w:sz w:val="22"/>
          <w:szCs w:val="22"/>
        </w:rPr>
        <w:t xml:space="preserve">Документы, входящие в заявку, не должны содержать недостоверные сведения или намеренно искаженную информацию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акже должны отсутствовать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внутренние противоречия между различными частями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 (или)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документами заявки, в том числе по тексту внутри одного документа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противоречия между документами заявки и сведениями, указанными Участником в структурированных формах на ЭП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bookmarkEnd w:id="101"/>
      <w:r>
        <w:rPr>
          <w:rFonts w:ascii="Times New Roman" w:hAnsi="Times New Roman" w:eastAsia="Times New Roman" w:cs="Times New Roman"/>
          <w:sz w:val="22"/>
          <w:szCs w:val="22"/>
        </w:rPr>
      </w:r>
      <w:bookmarkEnd w:id="102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Представленные в составе заявки документы, оформленные / выданные государственными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лицензирующими, сертификационными, аккредитационными органами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саморегулируемыми организациями, должны соответствовать императивным требованиям (при наличии) законодательства в отношении: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полномочий таких органов / лиц на оформление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этих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документов;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формы, объема и содержания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этих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документов.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Участник должен подготовить з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аявк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 соблюдением следующ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их условий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документы заявки могут предоставляться как в графическом виде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том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числе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виде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скан-копии, рекомендуемый формат: *.</w:t>
      </w:r>
      <w:r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pdf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так и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электронном виде (в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формате Microsoft Word (*.doc</w:t>
      </w:r>
      <w:r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x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), Microsoft Excel (*.xls</w:t>
      </w:r>
      <w:r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x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), и других)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Исключение составляют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документы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выданны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Участнику третьими лицами, которые должны быть предоставлены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только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графическом виде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том числе в виде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скан-копии, рекомендуемый формат: *.</w:t>
      </w:r>
      <w:r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pdf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электронные копии документов, заверенные трет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ьей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стороной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должны включать в себя, в том числе, страницы с требуемой отметкой по форме заверения документа (электронная подпись / отметка ИФНС / отметка нотариуса и т.п.);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все файлы не должны иметь защиты от их открытия, изменения, копирования их содержимого или их печати;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файлы электронной заявки рекомендуется именовать так, чтобы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можно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было идентифицировать содержание данного файла заявки (указать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названии файла содержащийся в нем документ). Каждый документ рекомендуется размещать в отдельном файле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сли какой-либо документ представлен в нечитаемом виде, данный документ считается непредставленным.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Никакие исправления в документах заявки не имеют силу, за исключением тех случаев, когда эти исправления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заверены надписью «исправленному верить» и собственноручной подписью уполномоченного лица Участника, расположенной рядом с каждым исправлением.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03" w:name="_Toc20"/>
      <w:r>
        <w:rPr>
          <w:rFonts w:ascii="Times New Roman" w:hAnsi="Times New Roman" w:eastAsia="Times New Roman" w:cs="Times New Roman"/>
          <w:sz w:val="22"/>
          <w:szCs w:val="22"/>
        </w:rPr>
      </w:r>
      <w:bookmarkStart w:id="103" w:name="_Ref130394205"/>
      <w:r>
        <w:rPr>
          <w:rFonts w:ascii="Times New Roman" w:hAnsi="Times New Roman" w:eastAsia="Times New Roman" w:cs="Times New Roman"/>
          <w:sz w:val="22"/>
          <w:szCs w:val="22"/>
        </w:rPr>
      </w:r>
      <w:bookmarkStart w:id="104" w:name="_Ref130394785"/>
      <w:r>
        <w:rPr>
          <w:rFonts w:ascii="Times New Roman" w:hAnsi="Times New Roman" w:eastAsia="Times New Roman" w:cs="Times New Roman"/>
          <w:sz w:val="22"/>
          <w:szCs w:val="22"/>
        </w:rPr>
      </w:r>
      <w:bookmarkStart w:id="105" w:name="_Ref130394802"/>
      <w:r>
        <w:rPr>
          <w:rFonts w:ascii="Times New Roman" w:hAnsi="Times New Roman" w:eastAsia="Times New Roman" w:cs="Times New Roman"/>
          <w:sz w:val="22"/>
          <w:szCs w:val="22"/>
        </w:rPr>
        <w:t xml:space="preserve">Разъяснение Документации о закупке</w:t>
      </w:r>
      <w:bookmarkEnd w:id="93"/>
      <w:r>
        <w:rPr>
          <w:rFonts w:ascii="Times New Roman" w:hAnsi="Times New Roman" w:eastAsia="Times New Roman" w:cs="Times New Roman"/>
          <w:sz w:val="22"/>
          <w:szCs w:val="22"/>
        </w:rPr>
      </w:r>
      <w:bookmarkEnd w:id="94"/>
      <w:r>
        <w:rPr>
          <w:rFonts w:ascii="Times New Roman" w:hAnsi="Times New Roman" w:eastAsia="Times New Roman" w:cs="Times New Roman"/>
          <w:sz w:val="22"/>
          <w:szCs w:val="22"/>
        </w:rPr>
      </w:r>
      <w:bookmarkEnd w:id="95"/>
      <w:r>
        <w:rPr>
          <w:rFonts w:ascii="Times New Roman" w:hAnsi="Times New Roman" w:eastAsia="Times New Roman" w:cs="Times New Roman"/>
          <w:sz w:val="22"/>
          <w:szCs w:val="22"/>
        </w:rPr>
      </w:r>
      <w:bookmarkEnd w:id="103"/>
      <w:r>
        <w:rPr>
          <w:rFonts w:ascii="Times New Roman" w:hAnsi="Times New Roman" w:eastAsia="Times New Roman" w:cs="Times New Roman"/>
          <w:sz w:val="22"/>
          <w:szCs w:val="22"/>
        </w:rPr>
      </w:r>
      <w:bookmarkEnd w:id="104"/>
      <w:r>
        <w:rPr>
          <w:rFonts w:ascii="Times New Roman" w:hAnsi="Times New Roman" w:eastAsia="Times New Roman" w:cs="Times New Roman"/>
          <w:sz w:val="22"/>
          <w:szCs w:val="22"/>
        </w:rPr>
      </w:r>
      <w:bookmarkEnd w:id="105"/>
      <w:r>
        <w:rPr>
          <w:rFonts w:ascii="Times New Roman" w:hAnsi="Times New Roman" w:eastAsia="Times New Roman" w:cs="Times New Roman"/>
          <w:sz w:val="22"/>
          <w:szCs w:val="22"/>
        </w:rPr>
      </w:r>
      <w:bookmarkEnd w:id="403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Участники вправе обратиться к Организатору за разъяснениями Документации о закупке.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З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апросы подаются в соответствии с Регламентами и инструкциями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ператора ЭП, опубликованными на сайте соответствующей ЭП.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Организатор обязуется ответить на любой вопрос, поступивший не позднее чем за 3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(три) рабочих дня до даты окончания срока подачи заявок.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случае поступления вопросов с нарушением установленного срока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Организатор вправе не предоставлять разъяснения.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Ответы на поступившие вопросы официально размещаются (с указанием предмета запроса, но без указания Участника, от которого поступил вопрос)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сроки, установленные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подразделом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но в любом случае не позднее чем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течение 3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(трех) рабочих дней с даты поступления такого запроса.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Копия ответа размещается Организатором на ЭП.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Организатор также вправе по собственной инициативе (без получения запросов от Участников) официально разместить разъяснения Документации о закупке.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Разъяснения Документации о закупке носят справочный характер и не могут изменять предмет закупки и условия </w:t>
      </w:r>
      <w:hyperlink w:tooltip="#Прил02_ПроектДоговора" w:anchor="Прил02_ПроектДоговора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роекта 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д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оговора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 (Приложения № 2)</w:t>
        </w:r>
      </w:hyperlink>
      <w:r>
        <w:rPr>
          <w:rStyle w:val="1211"/>
          <w:rFonts w:ascii="Times New Roman" w:hAnsi="Times New Roman" w:eastAsia="Times New Roman" w:cs="Times New Roman"/>
          <w:sz w:val="22"/>
          <w:szCs w:val="22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противном случае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вносятся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изменения в Документацию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закупке. При этом Участники обязаны учитывать разъяснения Организатора при подготовке своих заявок. Все риски и последствия за подачу заявки без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учета официально размещенных разъяснений несет Участник.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случае получения Участником любой иной информации в отношении условий проводимой закупки в порядке, не предусмотренном настоящим подразделом, такая информация не считается официальной, и Участник не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вправе на нее ссылаться.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04" w:name="_Toc21"/>
      <w:r>
        <w:rPr>
          <w:rFonts w:ascii="Times New Roman" w:hAnsi="Times New Roman" w:eastAsia="Times New Roman" w:cs="Times New Roman"/>
          <w:sz w:val="22"/>
          <w:szCs w:val="22"/>
        </w:rPr>
      </w:r>
      <w:bookmarkStart w:id="107" w:name="_Ref125362076"/>
      <w:r>
        <w:rPr>
          <w:rFonts w:ascii="Times New Roman" w:hAnsi="Times New Roman" w:eastAsia="Times New Roman" w:cs="Times New Roman"/>
          <w:sz w:val="22"/>
          <w:szCs w:val="22"/>
        </w:rPr>
      </w:r>
      <w:bookmarkStart w:id="108" w:name="_Ref125363891"/>
      <w:r>
        <w:rPr>
          <w:rFonts w:ascii="Times New Roman" w:hAnsi="Times New Roman" w:eastAsia="Times New Roman" w:cs="Times New Roman"/>
          <w:sz w:val="22"/>
          <w:szCs w:val="22"/>
        </w:rPr>
      </w:r>
      <w:bookmarkStart w:id="109" w:name="_Ref125364404"/>
      <w:r>
        <w:rPr>
          <w:rFonts w:ascii="Times New Roman" w:hAnsi="Times New Roman" w:eastAsia="Times New Roman" w:cs="Times New Roman"/>
          <w:sz w:val="22"/>
          <w:szCs w:val="22"/>
        </w:rPr>
        <w:t xml:space="preserve">Изменения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Извещени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(или)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Документаци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 закупке</w:t>
      </w:r>
      <w:bookmarkEnd w:id="107"/>
      <w:r>
        <w:rPr>
          <w:rFonts w:ascii="Times New Roman" w:hAnsi="Times New Roman" w:eastAsia="Times New Roman" w:cs="Times New Roman"/>
          <w:sz w:val="22"/>
          <w:szCs w:val="22"/>
        </w:rPr>
      </w:r>
      <w:bookmarkEnd w:id="108"/>
      <w:r>
        <w:rPr>
          <w:rFonts w:ascii="Times New Roman" w:hAnsi="Times New Roman" w:eastAsia="Times New Roman" w:cs="Times New Roman"/>
          <w:sz w:val="22"/>
          <w:szCs w:val="22"/>
        </w:rPr>
      </w:r>
      <w:bookmarkEnd w:id="109"/>
      <w:r>
        <w:rPr>
          <w:rFonts w:ascii="Times New Roman" w:hAnsi="Times New Roman" w:eastAsia="Times New Roman" w:cs="Times New Roman"/>
          <w:sz w:val="22"/>
          <w:szCs w:val="22"/>
        </w:rPr>
      </w:r>
      <w:bookmarkEnd w:id="404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Организатор в любой момент до окончания срока подачи заявок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подраздел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 вправе внести изменения в Извещение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Документацию о закупке. При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этом официальному размещению подлежит обновленная редакция Извещения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Документации о закупке, а также перечень внесенных изменений в них.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111" w:name="_Ref125550844"/>
      <w:r>
        <w:rPr>
          <w:rFonts w:ascii="Times New Roman" w:hAnsi="Times New Roman" w:eastAsia="Times New Roman" w:cs="Times New Roman"/>
          <w:sz w:val="22"/>
          <w:szCs w:val="22"/>
        </w:rPr>
        <w:t xml:space="preserve">После окончания срока подачи заявок допускается изменени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только в части установленных Документацией о закупке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дат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рассмотрения первых частей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/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окончательных предложений;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рассмотрения вторых частей заявок и ценовых предложений;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проведения переторжки, если предусмотрен данный этап;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подведения итогов закупки;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left="113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пределах срока действия заявок и с уведомлением Участников, подавших заявки.</w:t>
      </w:r>
      <w:bookmarkEnd w:id="111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Текст изменений официально размещается в течение 3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(трех) календарных дней со дня принятия решения о внесении указанных изменений.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Участники, официально получившие Документацию о закупке через ЭП, получат соответствующие уведомления в порядке, установленном Регламентом ЭП.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внесении изменений в Документацию о закупке (за исключением указанного в пункте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_Ref125550844 \r \h </w:instrText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\* MERGEFORMAT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sz w:val="22"/>
          <w:szCs w:val="22"/>
        </w:rPr>
        <w:t xml:space="preserve">4.5.2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), срок подачи заявок будет продлен таким образом, чтобы со дня официального размещения таких изменений до даты окончания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подачи заявок оставалось не менее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половины от минимального срока подачи заявок, установленного в Положении о закупке для данного способа, а именно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4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(четырех) календарных дней, если НМЦ закупки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(подраздел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превышает 30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000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000 (тридцать миллионов) рублей без НДС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8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(восьми) календарных дней, если НМЦ закупки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(подраздел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превышает 30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000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000 (тридцать миллионов) рублей без НДС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Участники обязаны учитывать внесенные изменения при подготовке своих заявок. Все риски и последствия за подачу заявки без учета официально размещенных изменений несет Участник.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05" w:name="_Toc22"/>
      <w:r>
        <w:rPr>
          <w:rFonts w:ascii="Times New Roman" w:hAnsi="Times New Roman" w:eastAsia="Times New Roman" w:cs="Times New Roman"/>
          <w:sz w:val="22"/>
          <w:szCs w:val="22"/>
        </w:rPr>
      </w:r>
      <w:bookmarkStart w:id="112" w:name="_Ref125362119"/>
      <w:r>
        <w:rPr>
          <w:rFonts w:ascii="Times New Roman" w:hAnsi="Times New Roman" w:eastAsia="Times New Roman" w:cs="Times New Roman"/>
          <w:sz w:val="22"/>
          <w:szCs w:val="22"/>
        </w:rPr>
        <w:t xml:space="preserve">Подача заявок и их прием</w:t>
      </w:r>
      <w:bookmarkEnd w:id="112"/>
      <w:r>
        <w:rPr>
          <w:rFonts w:ascii="Times New Roman" w:hAnsi="Times New Roman" w:eastAsia="Times New Roman" w:cs="Times New Roman"/>
          <w:sz w:val="22"/>
          <w:szCs w:val="22"/>
        </w:rPr>
      </w:r>
      <w:bookmarkEnd w:id="405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Участник вправе подать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одну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подготовленную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заявку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на участие в закупке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любое время начиная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даты официального размещения Извещения и до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окончания срока подачи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(подраздел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При этом все части заявок, включая ценовое предложение Участника, подаются им одновременно.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Заявки, поданные позднее установленного срока, не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могут быть приняты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Организатором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независимо от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причин опоздания.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им Положения о закупке Заказчика и Документаци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 закупке (включая все приложения к ней).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Заявка должна быть подготовлена в форме электронного документа и подана с использованием функционала ЭП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в доступном для прочтения формате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При этом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Участник должен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сканировать документы после того, как они будут оформлены в соответствии с требованиями Документации о закупке.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Заявка должна быть подписана электронной подписью лица, которое является уполномоченным представителем Участника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Правила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подачи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также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определяются Регламентом ЭП. Заявки, поданные через ЭП, дублировать в адрес Организатора по почте, электронной почте и другими способами не требуется. Заявки, полученные Организатором не через ЭП, не рассматриваются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Если Регламентом ЭП предусмотрено направление в составе заявки документов, представленных в момент аккредитации Участника на ЭП, Участник обязан обеспечить актуальность направляемых вместе с заявкой сведений.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ператор ЭП до окончания срока подачи заявок обеспечивает конфиденциальность информации, содержащейся в поданных заявках.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06" w:name="_Toc23"/>
      <w:r>
        <w:rPr>
          <w:rFonts w:ascii="Times New Roman" w:hAnsi="Times New Roman" w:eastAsia="Times New Roman" w:cs="Times New Roman"/>
          <w:sz w:val="22"/>
          <w:szCs w:val="22"/>
        </w:rPr>
      </w:r>
      <w:bookmarkStart w:id="114" w:name="_Ref125362130"/>
      <w:r>
        <w:rPr>
          <w:rFonts w:ascii="Times New Roman" w:hAnsi="Times New Roman" w:eastAsia="Times New Roman" w:cs="Times New Roman"/>
          <w:sz w:val="22"/>
          <w:szCs w:val="22"/>
        </w:rPr>
      </w:r>
      <w:bookmarkStart w:id="115" w:name="_Ref125362192"/>
      <w:r>
        <w:rPr>
          <w:rFonts w:ascii="Times New Roman" w:hAnsi="Times New Roman" w:eastAsia="Times New Roman" w:cs="Times New Roman"/>
          <w:sz w:val="22"/>
          <w:szCs w:val="22"/>
        </w:rPr>
      </w:r>
      <w:bookmarkStart w:id="116" w:name="_Ref125363819"/>
      <w:r>
        <w:rPr>
          <w:rFonts w:ascii="Times New Roman" w:hAnsi="Times New Roman" w:eastAsia="Times New Roman" w:cs="Times New Roman"/>
          <w:sz w:val="22"/>
          <w:szCs w:val="22"/>
        </w:rPr>
      </w:r>
      <w:bookmarkStart w:id="117" w:name="_Ref125365136"/>
      <w:r>
        <w:rPr>
          <w:rFonts w:ascii="Times New Roman" w:hAnsi="Times New Roman" w:eastAsia="Times New Roman" w:cs="Times New Roman"/>
          <w:sz w:val="22"/>
          <w:szCs w:val="22"/>
        </w:rPr>
        <w:t xml:space="preserve">Изменение и отзыв заявок</w:t>
      </w:r>
      <w:bookmarkEnd w:id="114"/>
      <w:r>
        <w:rPr>
          <w:rFonts w:ascii="Times New Roman" w:hAnsi="Times New Roman" w:eastAsia="Times New Roman" w:cs="Times New Roman"/>
          <w:sz w:val="22"/>
          <w:szCs w:val="22"/>
        </w:rPr>
      </w:r>
      <w:bookmarkEnd w:id="115"/>
      <w:r>
        <w:rPr>
          <w:rFonts w:ascii="Times New Roman" w:hAnsi="Times New Roman" w:eastAsia="Times New Roman" w:cs="Times New Roman"/>
          <w:sz w:val="22"/>
          <w:szCs w:val="22"/>
        </w:rPr>
      </w:r>
      <w:bookmarkEnd w:id="116"/>
      <w:r>
        <w:rPr>
          <w:rFonts w:ascii="Times New Roman" w:hAnsi="Times New Roman" w:eastAsia="Times New Roman" w:cs="Times New Roman"/>
          <w:sz w:val="22"/>
          <w:szCs w:val="22"/>
        </w:rPr>
      </w:r>
      <w:bookmarkEnd w:id="117"/>
      <w:r>
        <w:rPr>
          <w:rFonts w:ascii="Times New Roman" w:hAnsi="Times New Roman" w:eastAsia="Times New Roman" w:cs="Times New Roman"/>
          <w:sz w:val="22"/>
          <w:szCs w:val="22"/>
        </w:rPr>
      </w:r>
      <w:bookmarkEnd w:id="406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Участник вправе изменить или отозвать поданную им ранее заявку до момента окончания срока подачи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Внесение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изменений в заявку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отзыв заявки после этого времени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допуска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ю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тся, кроме случаев, прямо предусмотренных Документацией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закупке.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Отзыв Участником ранее поданной заявки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является отказом от участия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закупке, отозванные заявки не рассматриваются Организатором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по существу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Изменение 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отзыв Участником ранее поданной заявки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существляется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порядке, аналогичном порядку подачи и приема заявок, установленному в подр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азделе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_Ref125362119 \w \h </w:instrText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\* MERGEFORMAT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sz w:val="22"/>
          <w:szCs w:val="22"/>
        </w:rPr>
        <w:t xml:space="preserve">4.6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зменения и отзыв заявки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осуществляется посредством функционала ЭП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подробный порядок определяется Регламентом ЭП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07" w:name="_Toc24"/>
      <w:r>
        <w:rPr>
          <w:rFonts w:ascii="Times New Roman" w:hAnsi="Times New Roman" w:eastAsia="Times New Roman" w:cs="Times New Roman"/>
          <w:sz w:val="22"/>
          <w:szCs w:val="22"/>
        </w:rPr>
      </w:r>
      <w:bookmarkStart w:id="119" w:name="_Ref132816188"/>
      <w:r>
        <w:rPr>
          <w:rFonts w:ascii="Times New Roman" w:hAnsi="Times New Roman" w:eastAsia="Times New Roman" w:cs="Times New Roman"/>
          <w:sz w:val="22"/>
          <w:szCs w:val="22"/>
        </w:rPr>
        <w:t xml:space="preserve">Открытие доступа к первым частям заявок</w:t>
      </w:r>
      <w:bookmarkEnd w:id="119"/>
      <w:r>
        <w:rPr>
          <w:rFonts w:ascii="Times New Roman" w:hAnsi="Times New Roman" w:eastAsia="Times New Roman" w:cs="Times New Roman"/>
          <w:sz w:val="22"/>
          <w:szCs w:val="22"/>
        </w:rPr>
      </w:r>
      <w:bookmarkEnd w:id="407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Оператор ЭП направляет в адрес Организатора первые части заявок в срок не позднее 1 (одного) дня, следующего за днем окончания срока подачи заявок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(подраздел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 \* MERGEFORMAT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Подробные правила открытия Организатору доступа к первым частям заявок определяются Регламентом ЭП, с использованием которой проводится закупка. При этом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ператор ЭП обеспечивает конфиденциальность сведений о наименовании Участников, в том числе сведений, указанных в сертификатах ключей электронной подписи, которой подписана заявка, а также обеспечивает конфиденциальность сведений, содержащихся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первых част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ях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заявок, от Участников такой закупки.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08" w:name="_Toc25"/>
      <w:r>
        <w:rPr>
          <w:rFonts w:ascii="Times New Roman" w:hAnsi="Times New Roman" w:eastAsia="Times New Roman" w:cs="Times New Roman"/>
          <w:sz w:val="22"/>
          <w:szCs w:val="22"/>
        </w:rPr>
      </w:r>
      <w:bookmarkStart w:id="130" w:name="_Ref125362364"/>
      <w:r>
        <w:rPr>
          <w:rFonts w:ascii="Times New Roman" w:hAnsi="Times New Roman" w:eastAsia="Times New Roman" w:cs="Times New Roman"/>
          <w:sz w:val="22"/>
          <w:szCs w:val="22"/>
        </w:rPr>
      </w:r>
      <w:bookmarkStart w:id="131" w:name="_Ref125366689"/>
      <w:r>
        <w:rPr>
          <w:rFonts w:ascii="Times New Roman" w:hAnsi="Times New Roman" w:eastAsia="Times New Roman" w:cs="Times New Roman"/>
          <w:sz w:val="22"/>
          <w:szCs w:val="22"/>
        </w:rPr>
        <w:t xml:space="preserve">Рассмотрение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первых частей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/ окончательных предложений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отборочная стадия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bookmarkEnd w:id="130"/>
      <w:r>
        <w:rPr>
          <w:rFonts w:ascii="Times New Roman" w:hAnsi="Times New Roman" w:eastAsia="Times New Roman" w:cs="Times New Roman"/>
          <w:sz w:val="22"/>
          <w:szCs w:val="22"/>
        </w:rPr>
      </w:r>
      <w:bookmarkEnd w:id="131"/>
      <w:r>
        <w:rPr>
          <w:rFonts w:ascii="Times New Roman" w:hAnsi="Times New Roman" w:eastAsia="Times New Roman" w:cs="Times New Roman"/>
          <w:sz w:val="22"/>
          <w:szCs w:val="22"/>
        </w:rPr>
      </w:r>
      <w:bookmarkEnd w:id="408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Дата окончания срока рассмотрения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первых частей заявок / окончательных предложений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установлена в подразделе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Организатор по согласованию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Заказчиком вправе, при необходимости, изменить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официально разместив информацию об этом.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рамках рассмотрения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первых частей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/ окончательных предложений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(отборочной стадии) осуществляется проверка каждой заявки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на предмет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О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тборочным критериям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 рассмотрения заявок (Приложение № 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7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)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Рассмотрение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первых частей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/ окончательных предложений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проводится на основании представленных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составе заявки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документов и сведений.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133" w:name="_Ref125551456"/>
      <w:r>
        <w:rPr>
          <w:rFonts w:ascii="Times New Roman" w:hAnsi="Times New Roman" w:eastAsia="Times New Roman" w:cs="Times New Roman"/>
          <w:sz w:val="22"/>
          <w:szCs w:val="22"/>
        </w:rPr>
        <w:t xml:space="preserve">По результатам рассмотрения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первых частей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/ окончательных предложений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(проведения отборочной стадии) Закупочная комиссия отклоняет заявки по следующим основаниям:</w:t>
      </w:r>
      <w:bookmarkEnd w:id="133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есоответствие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первой части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заявки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/ окончательного предложения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составу</w:t>
      </w:r>
      <w:r>
        <w:rPr>
          <w:rStyle w:val="1195"/>
          <w:rFonts w:ascii="Times New Roman" w:hAnsi="Times New Roman" w:eastAsia="Times New Roman" w:cs="Times New Roman"/>
          <w:sz w:val="22"/>
          <w:szCs w:val="22"/>
        </w:rPr>
        <w:footnoteReference w:id="3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содержанию 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соблюдению требований Документации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закупке к подготовке (оформлению) заявки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в том числе наличие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недостоверных сведений или намеренно искаженной информации или документов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внутренних противоречий между различными частями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документами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первой части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заявки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/ окончательного предложения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том числе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тексту внутри одного документа;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несоответствие предлагаемой продукции требованиям Документации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закупке, в том числе порядка описания такой продукции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(включая требования по предоставлению информации и перечня документов, которые подтверждают страну происхождения товара – для случаев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запрета или ограничения, установленных законодательством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национальном режиме)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несоответствие предлагаемых договорных условий требованиям Документации о закупке;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наличие в документах первой части заявки / окончательном предложении сведений об Участники и (или) о его ценовом предложении.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Решение Закупочной комиссии по рассмотрению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первых частей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/ окончательных предложений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оформляется протоколом, в котором, как минимум, указываются</w:t>
      </w:r>
      <w:r>
        <w:rPr>
          <w:rStyle w:val="1195"/>
          <w:rFonts w:ascii="Times New Roman" w:hAnsi="Times New Roman" w:eastAsia="Times New Roman" w:cs="Times New Roman"/>
          <w:sz w:val="22"/>
          <w:szCs w:val="22"/>
        </w:rPr>
        <w:footnoteReference w:id="4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дата подписания протокола;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идентификационные номера, присваиваемые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ператором ЭП;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результаты рассмотрения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первых частей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/ окончательных предложений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 указанием, в том числе: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количества заявок, которые были отклонены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по результатам рассмотрения первых частей заявок / окончательных предложений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оснований отклонения каждой заявки с указанием положений Документации о закупке, которым не соответствует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первая часть такой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заявка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/ окончательное предложение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причины, по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которым закупка признана несостоявшейся в соответствии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подразделом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_Ref125364149 \w \h </w:instrText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\* MERGEFORMAT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sz w:val="22"/>
          <w:szCs w:val="22"/>
        </w:rPr>
        <w:t xml:space="preserve">4.16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(в случае ее признания таковой)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ротокол рассмотрения первых частей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/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окончательных предложений направляется Организатором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ператору ЭП не позднее 3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(трех) календарных дней с даты подписания такого протокола, после чего он официально размещается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(подраздел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_Ref130286532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ператором ЭП в течение 1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(одного) часа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момента его получения от Организатора.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09" w:name="_Toc26"/>
      <w:r>
        <w:rPr>
          <w:rFonts w:ascii="Times New Roman" w:hAnsi="Times New Roman" w:eastAsia="Times New Roman" w:cs="Times New Roman"/>
          <w:sz w:val="22"/>
          <w:szCs w:val="22"/>
        </w:rPr>
      </w:r>
      <w:bookmarkStart w:id="134" w:name="_Ref132801184"/>
      <w:r>
        <w:rPr>
          <w:rFonts w:ascii="Times New Roman" w:hAnsi="Times New Roman" w:eastAsia="Times New Roman" w:cs="Times New Roman"/>
          <w:sz w:val="22"/>
          <w:szCs w:val="22"/>
        </w:rPr>
        <w:t xml:space="preserve">Открытие доступа ко вторым частям заявок и ценовым предложениям</w:t>
      </w:r>
      <w:bookmarkEnd w:id="134"/>
      <w:r>
        <w:rPr>
          <w:rFonts w:ascii="Times New Roman" w:hAnsi="Times New Roman" w:eastAsia="Times New Roman" w:cs="Times New Roman"/>
          <w:sz w:val="22"/>
          <w:szCs w:val="22"/>
        </w:rPr>
      </w:r>
      <w:bookmarkEnd w:id="409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Оператор ЭП направляет в адрес Организатора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вторые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части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 ценовые предложения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срок,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установленный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подразделе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 \* MERGEFORMAT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Подробные правила открытия Организатору доступа 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вторым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частям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 ценовым предложениям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определяются Регламентом ЭП, с использованием которой проводится закупка. Оператор ЭП обеспечивает конфиденциальность сведений содержащихся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 вторых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част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ях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 ценовых предложениях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Участников такой закупки.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10" w:name="_Toc27"/>
      <w:r>
        <w:rPr>
          <w:rFonts w:ascii="Times New Roman" w:hAnsi="Times New Roman" w:eastAsia="Times New Roman" w:cs="Times New Roman"/>
          <w:sz w:val="22"/>
          <w:szCs w:val="22"/>
        </w:rPr>
      </w:r>
      <w:bookmarkStart w:id="136" w:name="_Ref132797154"/>
      <w:r>
        <w:rPr>
          <w:rFonts w:ascii="Times New Roman" w:hAnsi="Times New Roman" w:eastAsia="Times New Roman" w:cs="Times New Roman"/>
          <w:sz w:val="22"/>
          <w:szCs w:val="22"/>
        </w:rPr>
        <w:t xml:space="preserve">Рассмотрение вторых частей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(отборочная стадия)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в том числе (при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необходимости) проведение аккредитации,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 ценовых предложений</w:t>
      </w:r>
      <w:bookmarkEnd w:id="136"/>
      <w:r>
        <w:rPr>
          <w:rFonts w:ascii="Times New Roman" w:hAnsi="Times New Roman" w:eastAsia="Times New Roman" w:cs="Times New Roman"/>
          <w:sz w:val="22"/>
          <w:szCs w:val="22"/>
        </w:rPr>
      </w:r>
      <w:bookmarkEnd w:id="410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Дата окончания срока рассмотрения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вторых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частей заявок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 ценовых предложений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установлена в подразделе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Организатор по согласованию с Заказчиком вправе, при необходимости, изменить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официально разместив информацию об этом.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рамках рассмотрения вторых частей заявок и ценового предложения (отборочной стадии) осуществляется проверка каждой заявки, не отклоненной по результатам рассмотрения первых частей заявок / окончательных предложений,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на предмет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Отборочным критериям рассмотрения заявок (Приложение № 7)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том числе проводится процедура аккредитации Участников (при необходимости)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Рассмотрение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вторых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частей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 ценового предложения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проводится 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основании представленных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составе заявки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документов и сведений. Проверка актуальности и достоверности предоставленных документов и сведений осуществляется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использованием официальных сервисов органов государственной власти, или иным законным способом.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 выявлении в рамках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рассмотрения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ценовых предложений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наличия арифметических ошибок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в том числе: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результате суммирования единичных расценок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итог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умножения единичных расценок на объем продукции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вычислени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суммы НДС и итоговой стоимости заявки с учетом НДС)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иных внутренних противоречий в составе заявк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и,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left="113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Организатор исходит из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преимущества общей итоговой стоимости (без учета НДС), указанной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структурированных формах на ЭП (последней по времени подачи) и подписанной усиленной квалифицированной электронной подписью уполномоченного лица Участника.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уклонении Участника от заключения договора на вышеуказанных условиях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заявка такого Участника подлежит отклонению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решением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Закупочной комиссии.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138" w:name="_Ref132793926"/>
      <w:r>
        <w:rPr>
          <w:rFonts w:ascii="Times New Roman" w:hAnsi="Times New Roman" w:eastAsia="Times New Roman" w:cs="Times New Roman"/>
          <w:sz w:val="22"/>
          <w:szCs w:val="22"/>
        </w:rPr>
        <w:t xml:space="preserve">По результатам рассмотрения вторых частей заявок и ценовых предложений (проведения отборочной стадии) Закупочная комиссия отклоняет заявки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следующим основаниям:</w:t>
      </w:r>
      <w:bookmarkEnd w:id="138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несоответствие второй части заявки и (или) ценового предложения по составу</w:t>
      </w:r>
      <w:r>
        <w:rPr>
          <w:rStyle w:val="1195"/>
          <w:rFonts w:ascii="Times New Roman" w:hAnsi="Times New Roman" w:eastAsia="Times New Roman" w:cs="Times New Roman"/>
          <w:sz w:val="22"/>
          <w:szCs w:val="22"/>
        </w:rPr>
        <w:footnoteReference w:id="5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содержанию и соблюдению требований Документации о закупке к подготовке (оформлению) заявки, в том числе наличие: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недостоверных сведений</w:t>
      </w:r>
      <w:r>
        <w:rPr>
          <w:rStyle w:val="1195"/>
          <w:rFonts w:ascii="Times New Roman" w:hAnsi="Times New Roman" w:eastAsia="Times New Roman" w:cs="Times New Roman"/>
          <w:sz w:val="22"/>
          <w:szCs w:val="22"/>
        </w:rPr>
        <w:footnoteReference w:id="6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или намеренно искаженной информации или документов;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внутренних противоречий между различными частями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 документами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второй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части заявки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 (или)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ценового предложения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в том числе по тексту внутри одного документа;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противоречий между документами заявки и сведениями, указанными Участником в структурированных формах на ЭП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несоответствие предлагаемой продукции требованиям Документации о закупке,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 учетом представленных во второй части заявки соответствующих подтверждающих документов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несоответствие Участников требованиям Документации о закупке;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несоответствие привлекаемых субподрядчиков (соисполнителей) требованиям Документации о закупке;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превышение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ценового предложения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над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установленн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ым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размер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НМЦ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Решение Закупочной комиссии по рассмотрению вторых частей заявок и ценового предложения оформляется протоколом, в котором, как минимум, указываются</w:t>
      </w:r>
      <w:r>
        <w:rPr>
          <w:rStyle w:val="1195"/>
          <w:rFonts w:ascii="Times New Roman" w:hAnsi="Times New Roman" w:eastAsia="Times New Roman" w:cs="Times New Roman"/>
          <w:sz w:val="22"/>
          <w:szCs w:val="22"/>
        </w:rPr>
        <w:footnoteReference w:id="7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дата подписания протокола;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заявок), с указанием ценового предложения такой заявки;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наименования Участников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заявки которых не были отклонены по результатам рассмотрения первых частей заявок / окончательных предложений,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(или) их идентификационные номера, присваиваемые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ператором ЭП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результаты рассмотрения вторых частей заявок и ценовых предложений с указанием, в том числе: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количества заявок, которые были отклонены по результатам рассмотрения вторых частей заявок и ценовых предложений;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оснований отклонения каждой заявки с указанием положений Документации о закупке, которым не соответствует вторая часть такой заявка и (или) ценовое предложение;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причины, по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которым закупка признана несостоявшейся в соответствии с подразделом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_Ref125364149 \w \h </w:instrText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\* MERGEFORMAT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sz w:val="22"/>
          <w:szCs w:val="22"/>
        </w:rPr>
        <w:t xml:space="preserve">4.16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(в случае ее признания таковой)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ротокол рассмотрения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вторых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частей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 (или)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ценовых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предложений направляется Организатором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ператору ЭП не позднее 3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(трех) календарных дней с даты подписания такого протокола, после чего он официально размещается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(подраздел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_Ref130286532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ператором ЭП в течение 1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(одного) часа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момента его получения от Организатора.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11" w:name="_Toc28"/>
      <w:r>
        <w:rPr>
          <w:rFonts w:ascii="Times New Roman" w:hAnsi="Times New Roman" w:eastAsia="Times New Roman" w:cs="Times New Roman"/>
          <w:sz w:val="22"/>
          <w:szCs w:val="22"/>
        </w:rPr>
      </w:r>
      <w:bookmarkStart w:id="139" w:name="_Ref125362381"/>
      <w:r>
        <w:rPr>
          <w:rFonts w:ascii="Times New Roman" w:hAnsi="Times New Roman" w:eastAsia="Times New Roman" w:cs="Times New Roman"/>
          <w:sz w:val="22"/>
          <w:szCs w:val="22"/>
        </w:rPr>
      </w:r>
      <w:bookmarkStart w:id="140" w:name="_Ref125362425"/>
      <w:r>
        <w:rPr>
          <w:rFonts w:ascii="Times New Roman" w:hAnsi="Times New Roman" w:eastAsia="Times New Roman" w:cs="Times New Roman"/>
          <w:sz w:val="22"/>
          <w:szCs w:val="22"/>
        </w:rPr>
      </w:r>
      <w:bookmarkStart w:id="141" w:name="_Ref125362464"/>
      <w:r>
        <w:rPr>
          <w:rFonts w:ascii="Times New Roman" w:hAnsi="Times New Roman" w:eastAsia="Times New Roman" w:cs="Times New Roman"/>
          <w:sz w:val="22"/>
          <w:szCs w:val="22"/>
        </w:rPr>
      </w:r>
      <w:bookmarkStart w:id="142" w:name="_Ref125362610"/>
      <w:r>
        <w:rPr>
          <w:rFonts w:ascii="Times New Roman" w:hAnsi="Times New Roman" w:eastAsia="Times New Roman" w:cs="Times New Roman"/>
          <w:sz w:val="22"/>
          <w:szCs w:val="22"/>
        </w:rPr>
        <w:t xml:space="preserve">Дополнительные запросы разъяснений заявок</w:t>
      </w:r>
      <w:bookmarkEnd w:id="139"/>
      <w:r>
        <w:rPr>
          <w:rFonts w:ascii="Times New Roman" w:hAnsi="Times New Roman" w:eastAsia="Times New Roman" w:cs="Times New Roman"/>
          <w:sz w:val="22"/>
          <w:szCs w:val="22"/>
        </w:rPr>
      </w:r>
      <w:bookmarkEnd w:id="140"/>
      <w:r>
        <w:rPr>
          <w:rFonts w:ascii="Times New Roman" w:hAnsi="Times New Roman" w:eastAsia="Times New Roman" w:cs="Times New Roman"/>
          <w:sz w:val="22"/>
          <w:szCs w:val="22"/>
        </w:rPr>
      </w:r>
      <w:bookmarkEnd w:id="141"/>
      <w:r>
        <w:rPr>
          <w:rFonts w:ascii="Times New Roman" w:hAnsi="Times New Roman" w:eastAsia="Times New Roman" w:cs="Times New Roman"/>
          <w:sz w:val="22"/>
          <w:szCs w:val="22"/>
        </w:rPr>
      </w:r>
      <w:bookmarkEnd w:id="142"/>
      <w:r>
        <w:rPr>
          <w:rFonts w:ascii="Times New Roman" w:hAnsi="Times New Roman" w:eastAsia="Times New Roman" w:cs="Times New Roman"/>
          <w:sz w:val="22"/>
          <w:szCs w:val="22"/>
        </w:rPr>
      </w:r>
      <w:bookmarkEnd w:id="411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144" w:name="_Ref125365611"/>
      <w:r>
        <w:rPr>
          <w:rFonts w:ascii="Times New Roman" w:hAnsi="Times New Roman" w:eastAsia="Times New Roman" w:cs="Times New Roman"/>
          <w:sz w:val="22"/>
          <w:szCs w:val="22"/>
        </w:rPr>
        <w:t xml:space="preserve">В рамках процедуры рассмотрения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(первых частей заявок / окончательных предложений, вторых частей заявок и ценовых предложений)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рассмотрения дополнительных ценовых предложений – если проводилась процедура переторжки,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оценки и сопоставления заявок Организатор вправе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направить в адрес Участника дополнительный запрос разъяснений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дополнений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его заявки,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влияющих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на отклонение или оценку и сопоставление его заявки, в следующих случаях:</w:t>
      </w:r>
      <w:bookmarkEnd w:id="144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составе заявки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(в какой-либо ее части)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отсутствуют, представлены не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полном объеме или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нечитаемом виде документы или сведения, необходимые для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определения: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соответствия Участника требованиям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Документации о закупке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145" w:name="_Hlk132793683"/>
      <w:r>
        <w:rPr>
          <w:rFonts w:ascii="Times New Roman" w:hAnsi="Times New Roman" w:eastAsia="Times New Roman" w:cs="Times New Roman"/>
          <w:sz w:val="22"/>
          <w:szCs w:val="22"/>
        </w:rPr>
        <w:t xml:space="preserve">наличия соответствующих полномочий на подписани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заявки от имени Участника у лица, подписавшего заявку</w:t>
      </w:r>
      <w:bookmarkEnd w:id="145"/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соответствия заявки требованиям Документации о закупке в части характеристик предлагаемой продукции и договорных условий, расчета цены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оговора;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146" w:name="_Ref135033677"/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составе заявки (в какой-либо ее части) отсутствуют, представлены не в полном объеме или в нечитаемом виде документы или сведения, необходимые для прохождения Участником в рамках рассмотрения вторых частей заявок процедуры аккредитации (при необходимости);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заявке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(в какой-либо ее части)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имеются разночтения или положения, допускающие неоднозначное толкование, не позволяющие определить соответствие заявки или Участника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том числе не позволяющие провести в отношении него процедуру аккредитации (при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необходимости)</w:t>
      </w:r>
      <w:r>
        <w:rPr>
          <w:rStyle w:val="1195"/>
          <w:rFonts w:ascii="Times New Roman" w:hAnsi="Times New Roman" w:eastAsia="Times New Roman" w:cs="Times New Roman"/>
          <w:sz w:val="22"/>
          <w:szCs w:val="22"/>
        </w:rPr>
        <w:footnoteReference w:id="8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требованиям Документации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закупке или осуществить оценку и сопоставление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bookmarkEnd w:id="146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Если в рамках рассмотрения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(вторых частей заявок и ценовых предложений)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проводится процедура аккредитации, Организатор вправе направить в адрес Участника дополнительный запрос разъяснений 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(или) дополнени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его заявки,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влияющи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на прохождени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аккредитации таким Участником (в том числе в случае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указанном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подпункт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 _Ref135033677 \d ( \h \r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4.12.1(б)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Не допускаются запросы со стороны Организатора, а также ответы со стороны Участников, изменяющие суть заявки (предмет, объем, цена, номенклатура предлагаемой Участником продукции).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 направлении дополнительных запросов разъяснений заявок не допускается создание преимущественных условий Участнику или нескольким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Участникам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Дополнительные запросы направляются одновременно (в один день) всем Участникам, у которых был выявлен факт несоответствий, за исключением следующего – дополнительные запросы не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направляются Участнику если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соответствии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пункт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ами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_Ref125551456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4.9.4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_Ref132793926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4.11.5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имеются прямые основания для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отклонения заявки такого Участника, не относящ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иеся к случаям, перечисленным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пункте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_Ref125365611 \w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12.1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Срок предоставления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Участниками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разъяснений своих заявок устанавливается одинаковый для всех и составляет не менее 2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(двух) рабочих дней с момента направления запроса в адрес Участника.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Направление Организатором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дополнительных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запросов и ответов Участников на данные запросы осуществляется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 помощью программных и технических средств ЭП в порядке, предусмотренном Регламентом ЭП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тветы Участников, поступившие не через ЭП, к рассмотрению не принимаются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Непредставление или представление не в полном объеме запрашиваемых документов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разъяснений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установленный в запросе срок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служит основанием для отклонения заявки такого Участника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условиям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пункт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_Ref125551456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4.9.4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_Ref132793926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4.11.5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12" w:name="_Toc29"/>
      <w:r>
        <w:rPr>
          <w:rFonts w:ascii="Times New Roman" w:hAnsi="Times New Roman" w:eastAsia="Times New Roman" w:cs="Times New Roman"/>
          <w:sz w:val="22"/>
          <w:szCs w:val="22"/>
        </w:rPr>
      </w:r>
      <w:bookmarkStart w:id="156" w:name="_Ref125362626"/>
      <w:r>
        <w:rPr>
          <w:rFonts w:ascii="Times New Roman" w:hAnsi="Times New Roman" w:eastAsia="Times New Roman" w:cs="Times New Roman"/>
          <w:sz w:val="22"/>
          <w:szCs w:val="22"/>
        </w:rPr>
      </w:r>
      <w:bookmarkStart w:id="157" w:name="_Ref125365335"/>
      <w:r>
        <w:rPr>
          <w:rFonts w:ascii="Times New Roman" w:hAnsi="Times New Roman" w:eastAsia="Times New Roman" w:cs="Times New Roman"/>
          <w:sz w:val="22"/>
          <w:szCs w:val="22"/>
        </w:rPr>
      </w:r>
      <w:bookmarkStart w:id="158" w:name="_Ref125365519"/>
      <w:r>
        <w:rPr>
          <w:rFonts w:ascii="Times New Roman" w:hAnsi="Times New Roman" w:eastAsia="Times New Roman" w:cs="Times New Roman"/>
          <w:sz w:val="22"/>
          <w:szCs w:val="22"/>
        </w:rPr>
      </w:r>
      <w:bookmarkStart w:id="159" w:name="_Ref125366534"/>
      <w:r>
        <w:rPr>
          <w:rFonts w:ascii="Times New Roman" w:hAnsi="Times New Roman" w:eastAsia="Times New Roman" w:cs="Times New Roman"/>
          <w:sz w:val="22"/>
          <w:szCs w:val="22"/>
        </w:rPr>
      </w:r>
      <w:bookmarkStart w:id="160" w:name="_Ref125369041"/>
      <w:r>
        <w:rPr>
          <w:rFonts w:ascii="Times New Roman" w:hAnsi="Times New Roman" w:eastAsia="Times New Roman" w:cs="Times New Roman"/>
          <w:sz w:val="22"/>
          <w:szCs w:val="22"/>
        </w:rPr>
      </w:r>
      <w:bookmarkStart w:id="161" w:name="_Ref125369308"/>
      <w:r>
        <w:rPr>
          <w:rFonts w:ascii="Times New Roman" w:hAnsi="Times New Roman" w:eastAsia="Times New Roman" w:cs="Times New Roman"/>
          <w:sz w:val="22"/>
          <w:szCs w:val="22"/>
        </w:rPr>
        <w:t xml:space="preserve">Оценка и сопоставление заявок</w:t>
      </w:r>
      <w:bookmarkEnd w:id="156"/>
      <w:r>
        <w:rPr>
          <w:rFonts w:ascii="Times New Roman" w:hAnsi="Times New Roman" w:eastAsia="Times New Roman" w:cs="Times New Roman"/>
          <w:sz w:val="22"/>
          <w:szCs w:val="22"/>
        </w:rPr>
      </w:r>
      <w:bookmarkEnd w:id="157"/>
      <w:r>
        <w:rPr>
          <w:rFonts w:ascii="Times New Roman" w:hAnsi="Times New Roman" w:eastAsia="Times New Roman" w:cs="Times New Roman"/>
          <w:sz w:val="22"/>
          <w:szCs w:val="22"/>
        </w:rPr>
      </w:r>
      <w:bookmarkEnd w:id="158"/>
      <w:r>
        <w:rPr>
          <w:rFonts w:ascii="Times New Roman" w:hAnsi="Times New Roman" w:eastAsia="Times New Roman" w:cs="Times New Roman"/>
          <w:sz w:val="22"/>
          <w:szCs w:val="22"/>
        </w:rPr>
      </w:r>
      <w:bookmarkEnd w:id="159"/>
      <w:r>
        <w:rPr>
          <w:rFonts w:ascii="Times New Roman" w:hAnsi="Times New Roman" w:eastAsia="Times New Roman" w:cs="Times New Roman"/>
          <w:sz w:val="22"/>
          <w:szCs w:val="22"/>
        </w:rPr>
      </w:r>
      <w:bookmarkEnd w:id="160"/>
      <w:r>
        <w:rPr>
          <w:rFonts w:ascii="Times New Roman" w:hAnsi="Times New Roman" w:eastAsia="Times New Roman" w:cs="Times New Roman"/>
          <w:sz w:val="22"/>
          <w:szCs w:val="22"/>
        </w:rPr>
      </w:r>
      <w:bookmarkEnd w:id="161"/>
      <w:r>
        <w:rPr>
          <w:rFonts w:ascii="Times New Roman" w:hAnsi="Times New Roman" w:eastAsia="Times New Roman" w:cs="Times New Roman"/>
          <w:sz w:val="22"/>
          <w:szCs w:val="22"/>
        </w:rPr>
      </w:r>
      <w:bookmarkEnd w:id="412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Оценка и сопоставление заявок, признанных Закупочной комиссией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соответствующими по результатам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рассмотрения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(первых частей заявок / окончательных предложений, вторых частей заявок и ценовых предложений), рассмотрения дополнительных ценовых предложений – если проводилась процедура переторжки,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осуществляется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в соответствии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 </w:t>
      </w:r>
      <w:hyperlink w:tooltip="#Прил08_ПорядокОценки" w:anchor="Прил08_ПорядокОценки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Порядком и критериями оценки и сопоставления заявок (Приложение № 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8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)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 присвоением каждой заявке итогового балла.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По результатам оценки заявок Закупочная комиссия в течение 1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(одного) рабочего дня осуществляет их сопоставление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ранжирует по степени их предпочтительности на основании полученного итогового балла (по мере уменьшения)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При этом первое место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ранжировке присваивается заявке, получившей по результатам оценки наибольший итоговый балл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если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нескольких заявках содержатся одинаковые условия (заявкам присвоен одинаковый итоговый балл), меньший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порядковый номер (более высокое место в ранжировке) присваивается заявке, которая поступила ранее других заявок, на основании информации о поступлении заявок, отражаемой на ЭП (по дате и времени последнего изменения заявки до окончания срока подачи заявок)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Оценка и сопоставление заявок проводится только на основании представленных в составе заявки документов и сведений. Применение иного порядка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критериев оценки и сопоставления заявок, кроме предусмотренных Документацией о закупке, не допускается.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163" w:name="_Ref125366064"/>
      <w:r>
        <w:rPr>
          <w:rFonts w:ascii="Times New Roman" w:hAnsi="Times New Roman" w:eastAsia="Times New Roman" w:cs="Times New Roman"/>
          <w:sz w:val="22"/>
          <w:szCs w:val="22"/>
        </w:rPr>
      </w:r>
      <w:bookmarkStart w:id="164" w:name="_Ref125369991"/>
      <w:r>
        <w:rPr>
          <w:rFonts w:ascii="Times New Roman" w:hAnsi="Times New Roman" w:eastAsia="Times New Roman" w:cs="Times New Roman"/>
          <w:sz w:val="22"/>
          <w:szCs w:val="22"/>
        </w:rPr>
      </w:r>
      <w:bookmarkStart w:id="165" w:name="_Ref125370507"/>
      <w:r>
        <w:rPr>
          <w:rFonts w:ascii="Times New Roman" w:hAnsi="Times New Roman" w:eastAsia="Times New Roman" w:cs="Times New Roman"/>
          <w:sz w:val="22"/>
          <w:szCs w:val="22"/>
        </w:rPr>
      </w:r>
      <w:bookmarkStart w:id="166" w:name="_Ref130458671"/>
      <w:r>
        <w:rPr>
          <w:rFonts w:ascii="Times New Roman" w:hAnsi="Times New Roman" w:eastAsia="Times New Roman" w:cs="Times New Roman"/>
          <w:sz w:val="22"/>
          <w:szCs w:val="22"/>
        </w:rPr>
        <w:t xml:space="preserve">Оценка и сопоставление заявок,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 также их ранжировка, осуществляется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учетом применения законодательства о национальном режиме, в т.ч. ПП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1875 (подраздел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_Ref132816300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sz w:val="22"/>
          <w:szCs w:val="22"/>
        </w:rPr>
        <w:t xml:space="preserve">4.14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167" w:name="_Ref130985951"/>
      <w:r>
        <w:rPr>
          <w:rFonts w:ascii="Times New Roman" w:hAnsi="Times New Roman" w:eastAsia="Times New Roman" w:cs="Times New Roman"/>
          <w:sz w:val="22"/>
          <w:szCs w:val="22"/>
        </w:rPr>
        <w:t xml:space="preserve">Результаты оценки и сопоставления заявок указываются в итоговом протоколе по результатам закупки.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13" w:name="_Toc30"/>
      <w:r>
        <w:rPr>
          <w:rFonts w:ascii="Times New Roman" w:hAnsi="Times New Roman" w:eastAsia="Times New Roman" w:cs="Times New Roman"/>
          <w:sz w:val="22"/>
          <w:szCs w:val="22"/>
        </w:rPr>
      </w:r>
      <w:bookmarkStart w:id="168" w:name="_Ref186181253"/>
      <w:r>
        <w:rPr>
          <w:rFonts w:ascii="Times New Roman" w:hAnsi="Times New Roman" w:eastAsia="Times New Roman" w:cs="Times New Roman"/>
          <w:sz w:val="22"/>
          <w:szCs w:val="22"/>
        </w:rPr>
      </w:r>
      <w:bookmarkStart w:id="169" w:name="_Ref132816300"/>
      <w:r>
        <w:rPr>
          <w:rFonts w:ascii="Times New Roman" w:hAnsi="Times New Roman" w:eastAsia="Times New Roman" w:cs="Times New Roman"/>
          <w:sz w:val="22"/>
          <w:szCs w:val="22"/>
        </w:rPr>
        <w:t xml:space="preserve">Применение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законодательства о национальном режиме</w:t>
      </w:r>
      <w:bookmarkEnd w:id="163"/>
      <w:r>
        <w:rPr>
          <w:rFonts w:ascii="Times New Roman" w:hAnsi="Times New Roman" w:eastAsia="Times New Roman" w:cs="Times New Roman"/>
          <w:sz w:val="22"/>
          <w:szCs w:val="22"/>
        </w:rPr>
      </w:r>
      <w:bookmarkEnd w:id="164"/>
      <w:r>
        <w:rPr>
          <w:rFonts w:ascii="Times New Roman" w:hAnsi="Times New Roman" w:eastAsia="Times New Roman" w:cs="Times New Roman"/>
          <w:sz w:val="22"/>
          <w:szCs w:val="22"/>
        </w:rPr>
      </w:r>
      <w:bookmarkEnd w:id="165"/>
      <w:r>
        <w:rPr>
          <w:rFonts w:ascii="Times New Roman" w:hAnsi="Times New Roman" w:eastAsia="Times New Roman" w:cs="Times New Roman"/>
          <w:sz w:val="22"/>
          <w:szCs w:val="22"/>
        </w:rPr>
      </w:r>
      <w:bookmarkEnd w:id="166"/>
      <w:r>
        <w:rPr>
          <w:rFonts w:ascii="Times New Roman" w:hAnsi="Times New Roman" w:eastAsia="Times New Roman" w:cs="Times New Roman"/>
          <w:sz w:val="22"/>
          <w:szCs w:val="22"/>
        </w:rPr>
      </w:r>
      <w:bookmarkEnd w:id="167"/>
      <w:r>
        <w:rPr>
          <w:rFonts w:ascii="Times New Roman" w:hAnsi="Times New Roman" w:eastAsia="Times New Roman" w:cs="Times New Roman"/>
          <w:sz w:val="22"/>
          <w:szCs w:val="22"/>
        </w:rPr>
      </w:r>
      <w:bookmarkEnd w:id="168"/>
      <w:r>
        <w:rPr>
          <w:rFonts w:ascii="Times New Roman" w:hAnsi="Times New Roman" w:eastAsia="Times New Roman" w:cs="Times New Roman"/>
          <w:sz w:val="22"/>
          <w:szCs w:val="22"/>
        </w:rPr>
      </w:r>
      <w:bookmarkEnd w:id="169"/>
      <w:r>
        <w:rPr>
          <w:rFonts w:ascii="Times New Roman" w:hAnsi="Times New Roman" w:eastAsia="Times New Roman" w:cs="Times New Roman"/>
          <w:sz w:val="22"/>
          <w:szCs w:val="22"/>
        </w:rPr>
      </w:r>
      <w:bookmarkEnd w:id="413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Настоящий подраздел применяется исходя из информации, установленной в подразделе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Если в подразделе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установлен режим запрета закупки иностранной продукции, то не доп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ускается заключение договора на поставку такой продукции (на поставку товара иностранного происхождения / на оказание услуг иностранным лицом / на выполнение работ иностранным лицом) – соответствующая заявка отклоняется при рассмотрении заявок (подразделы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_Ref125362364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4.9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_Ref132797154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4.11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Если в подразделе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установлен режим ограничения закупки иностранной продукции, то не допускается заключение договора на поставку такой продукции, если была подана и по ре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зультатам рассмотрения заявок допущена заявка с российской продукцией (на поставку товара российского происхождения / на оказание услуг российским лицом / на выполнение работ российским лицом), – соответствующая заявка отклоняется при рассмотрении заявок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подразделы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_Ref125362364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4.9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_Ref132797154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4.11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Если в подразделе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установлен режим преимущества российской продукции, то при оценке и сопоставлении заявок, а также их ранжировке (подраздел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_Ref125362626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4.13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), осуществляется снижение</w:t>
      </w:r>
      <w:r>
        <w:rPr>
          <w:rStyle w:val="1195"/>
          <w:rFonts w:ascii="Times New Roman" w:hAnsi="Times New Roman" w:eastAsia="Times New Roman" w:cs="Times New Roman"/>
          <w:sz w:val="22"/>
          <w:szCs w:val="22"/>
        </w:rPr>
        <w:footnoteReference w:id="9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на 15% (пятнадцать процентов) итоговой стоимости заявки (цены Договора), поданной и допущенной заявки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российской продукцией (на поставку товара российского происхождения / 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оказание услуг российским лицом / на выполнение работ российским лицом).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Состав и требования к информации и перечню документов, которые подтверждают страну происхождения товара в целях предоставления национального режима, установлены в </w:t>
      </w:r>
      <w:hyperlink w:tooltip="#Прил01_ТехТребования" w:anchor="Прил01_ТехТребования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Технических требованиях (Приложение № 1)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14" w:name="_Toc31"/>
      <w:r>
        <w:rPr>
          <w:rFonts w:ascii="Times New Roman" w:hAnsi="Times New Roman" w:eastAsia="Times New Roman" w:cs="Times New Roman"/>
          <w:sz w:val="22"/>
          <w:szCs w:val="22"/>
        </w:rPr>
      </w:r>
      <w:bookmarkStart w:id="177" w:name="_Ref125362658"/>
      <w:r>
        <w:rPr>
          <w:rFonts w:ascii="Times New Roman" w:hAnsi="Times New Roman" w:eastAsia="Times New Roman" w:cs="Times New Roman"/>
          <w:sz w:val="22"/>
          <w:szCs w:val="22"/>
        </w:rPr>
      </w:r>
      <w:bookmarkStart w:id="178" w:name="_Ref125366091"/>
      <w:r>
        <w:rPr>
          <w:rFonts w:ascii="Times New Roman" w:hAnsi="Times New Roman" w:eastAsia="Times New Roman" w:cs="Times New Roman"/>
          <w:sz w:val="22"/>
          <w:szCs w:val="22"/>
        </w:rPr>
      </w:r>
      <w:bookmarkStart w:id="179" w:name="_Ref125367242"/>
      <w:r>
        <w:rPr>
          <w:rFonts w:ascii="Times New Roman" w:hAnsi="Times New Roman" w:eastAsia="Times New Roman" w:cs="Times New Roman"/>
          <w:sz w:val="22"/>
          <w:szCs w:val="22"/>
        </w:rPr>
        <w:t xml:space="preserve">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одведение итогов закупки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пределение Победителя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bookmarkEnd w:id="177"/>
      <w:r>
        <w:rPr>
          <w:rFonts w:ascii="Times New Roman" w:hAnsi="Times New Roman" w:eastAsia="Times New Roman" w:cs="Times New Roman"/>
          <w:sz w:val="22"/>
          <w:szCs w:val="22"/>
        </w:rPr>
      </w:r>
      <w:bookmarkEnd w:id="178"/>
      <w:r>
        <w:rPr>
          <w:rFonts w:ascii="Times New Roman" w:hAnsi="Times New Roman" w:eastAsia="Times New Roman" w:cs="Times New Roman"/>
          <w:sz w:val="22"/>
          <w:szCs w:val="22"/>
        </w:rPr>
      </w:r>
      <w:bookmarkEnd w:id="179"/>
      <w:r>
        <w:rPr>
          <w:rFonts w:ascii="Times New Roman" w:hAnsi="Times New Roman" w:eastAsia="Times New Roman" w:cs="Times New Roman"/>
          <w:sz w:val="22"/>
          <w:szCs w:val="22"/>
        </w:rPr>
      </w:r>
      <w:bookmarkEnd w:id="414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Дата окончания срока подведения итогов закупки указана в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подразделе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Организатор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согласованию с Заказчиком вправе, при необходимости, изменить данный срок, официально разместив информацию об этом.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 основании полученных результатов оценки и сопоставления заявок Организатор подводит итоги закупки.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Победителем закупки признается Участник, заявка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которого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заняла 1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(первое) место в ранжировке заявок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итогам рассмотрения, оценки и сопоставления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Если к моменту подведения итогов закупки с выбором в качестве Победителя ранее аккредитованного Участника прошло более 6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(шести) календарных месяцев с даты присвоения ему статуса «аккредитован»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/ «аккредитация не требуется»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перед окончательным определением Победителя проводится процедура актуализации статуса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аккредитации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данного Участника. Если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результатам такой проверки Участник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присвоен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статус «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аккредитован», его заявка отклоняется, 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Закупочная комиссия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имеет право выбрать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в качестве Победителя иного Участника, занявшего следующее после него место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ранжировке заявок, из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числа остальных действующих заявок (при наличии 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него актуального статуса аккредитации).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181" w:name="_Ref125365974"/>
      <w:r>
        <w:rPr>
          <w:rFonts w:ascii="Times New Roman" w:hAnsi="Times New Roman" w:eastAsia="Times New Roman" w:cs="Times New Roman"/>
          <w:sz w:val="22"/>
          <w:szCs w:val="22"/>
        </w:rPr>
        <w:t xml:space="preserve">Решение Закупочной комиссии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определению Победителя оформляется итоговым протоколом по результатам закупки, в котором, как минимум, указываются</w:t>
      </w:r>
      <w:r>
        <w:rPr>
          <w:rStyle w:val="1195"/>
          <w:rFonts w:ascii="Times New Roman" w:hAnsi="Times New Roman" w:eastAsia="Times New Roman" w:cs="Times New Roman"/>
          <w:sz w:val="22"/>
          <w:szCs w:val="22"/>
        </w:rPr>
        <w:footnoteReference w:id="10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</w:t>
      </w:r>
      <w:bookmarkEnd w:id="181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дата подписания протокола;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наименования Участников,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заявки которых были допущены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результатам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рассмотрения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вторых частей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 ценовых предложений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их идентификационные номера, присваиваемые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ператором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ЭП;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результаты рассмотрения заявок с указанием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(в том числе с учетом результат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рассмотрения дополнительных ценовых предложений – если проводилась переторжка)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в том числе: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количества заявок, которые были отклонены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(отдельно по результатам рассмотрения первых частей заявок / окончательных предложений, по результатам рассмотрения вторых частей заявок и ценовых предложений и по результатам рассмотрения дополнительных ценовых предложений – если проводилась переторжка)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оснований отклонения каждой заявки с указанием положений Документации о закупке, которым не соответствует такая заявка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результаты дополнительного рассмотрения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(при возникновении оснований для отклонения заявок по результатам проведения актуализации статуса аккредитации, если так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процедур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проводились)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указанием, в том числе: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количества заявок, которые были отклонены;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оснований отклонения каждой заявки с указанием положений Документации о закупке, которым не соответствует такая заявка;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результаты оценки и сопоставления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 указанием, в том числе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значения (в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баллах), присвоенного каждой заявке по каждому из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предусмотренных критериев оценки, установленных в Документации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порядковые номера каждой заявки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(с указанием стоимостей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(цен Договоров)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не отклоненной по результатам рассмотрения вторых частей заявок и ценовых предложений (рассмотрения дополнительных ценовых предложений – если проводилась переторжка),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том числе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 учетом результатов актуализации статуса аккредитации 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проведения переторжки (если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указанн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процедур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проводил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сь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в ранжировке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наименование Победителя закупки или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динственного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частника несостоявшейся закупки, с которым планируется заключить Договор;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причины, по которым закупка признана несостоявшейся (в случае ее признания таковой),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left="113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после чего Организатор официально размещает его в течение 3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(трех) календарных дней с даты подписания такого протокола.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Победитель дополнительно уведомляется о результатах проводимой закупки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использованием ЭП – уведомление направляется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ператором ЭП согласно Регламенту ЭП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Если между официальным размещением итогового протокола по результатам закупки и подписанием Договора изменится Победитель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например, вследствие уклонения Победителя или потери им статуса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), информация о новом Победителе официально размещается Организатором в том же порядке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182" w:name="_Hlk149314796"/>
      <w:r>
        <w:rPr>
          <w:rFonts w:ascii="Times New Roman" w:hAnsi="Times New Roman" w:eastAsia="Times New Roman" w:cs="Times New Roman"/>
          <w:sz w:val="22"/>
          <w:szCs w:val="22"/>
        </w:rPr>
        <w:t xml:space="preserve">Любой Участник после официального размещения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итогового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протокола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 результатам закупки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вправе направить Организатору запрос о разъяснении результатов рассмотрения 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(или) оценки и сопоставления своей заявки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порядке, аналогичном порядку направления запросов на разъяснение Документации о закупке (подраздел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_Ref130394205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4.4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). Организатор в течение 10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(десяти) рабочих дней со дня поступления такого запроса обязан предоставить такому Участнику соответствующие разъяснения. При этом в отношении иных Участников разъяснения не предоставляются.</w:t>
      </w:r>
      <w:bookmarkEnd w:id="182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15" w:name="_Toc32"/>
      <w:r>
        <w:rPr>
          <w:rFonts w:ascii="Times New Roman" w:hAnsi="Times New Roman" w:eastAsia="Times New Roman" w:cs="Times New Roman"/>
          <w:sz w:val="22"/>
          <w:szCs w:val="22"/>
        </w:rPr>
      </w:r>
      <w:bookmarkStart w:id="183" w:name="_Ref125364149"/>
      <w:r>
        <w:rPr>
          <w:rFonts w:ascii="Times New Roman" w:hAnsi="Times New Roman" w:eastAsia="Times New Roman" w:cs="Times New Roman"/>
          <w:sz w:val="22"/>
          <w:szCs w:val="22"/>
        </w:rPr>
      </w:r>
      <w:bookmarkStart w:id="184" w:name="_Ref125364187"/>
      <w:r>
        <w:rPr>
          <w:rFonts w:ascii="Times New Roman" w:hAnsi="Times New Roman" w:eastAsia="Times New Roman" w:cs="Times New Roman"/>
          <w:sz w:val="22"/>
          <w:szCs w:val="22"/>
        </w:rPr>
      </w:r>
      <w:bookmarkStart w:id="185" w:name="_Ref125365305"/>
      <w:r>
        <w:rPr>
          <w:rFonts w:ascii="Times New Roman" w:hAnsi="Times New Roman" w:eastAsia="Times New Roman" w:cs="Times New Roman"/>
          <w:sz w:val="22"/>
          <w:szCs w:val="22"/>
        </w:rPr>
      </w:r>
      <w:bookmarkStart w:id="186" w:name="_Ref125365570"/>
      <w:r>
        <w:rPr>
          <w:rFonts w:ascii="Times New Roman" w:hAnsi="Times New Roman" w:eastAsia="Times New Roman" w:cs="Times New Roman"/>
          <w:sz w:val="22"/>
          <w:szCs w:val="22"/>
        </w:rPr>
      </w:r>
      <w:bookmarkStart w:id="187" w:name="_Ref125366631"/>
      <w:r>
        <w:rPr>
          <w:rFonts w:ascii="Times New Roman" w:hAnsi="Times New Roman" w:eastAsia="Times New Roman" w:cs="Times New Roman"/>
          <w:sz w:val="22"/>
          <w:szCs w:val="22"/>
        </w:rPr>
      </w:r>
      <w:bookmarkStart w:id="188" w:name="_Ref125366796"/>
      <w:r>
        <w:rPr>
          <w:rFonts w:ascii="Times New Roman" w:hAnsi="Times New Roman" w:eastAsia="Times New Roman" w:cs="Times New Roman"/>
          <w:sz w:val="22"/>
          <w:szCs w:val="22"/>
        </w:rPr>
        <w:t xml:space="preserve">Признание закупки несостоявшейся</w:t>
      </w:r>
      <w:bookmarkEnd w:id="183"/>
      <w:r>
        <w:rPr>
          <w:rFonts w:ascii="Times New Roman" w:hAnsi="Times New Roman" w:eastAsia="Times New Roman" w:cs="Times New Roman"/>
          <w:sz w:val="22"/>
          <w:szCs w:val="22"/>
        </w:rPr>
      </w:r>
      <w:bookmarkEnd w:id="184"/>
      <w:r>
        <w:rPr>
          <w:rFonts w:ascii="Times New Roman" w:hAnsi="Times New Roman" w:eastAsia="Times New Roman" w:cs="Times New Roman"/>
          <w:sz w:val="22"/>
          <w:szCs w:val="22"/>
        </w:rPr>
      </w:r>
      <w:bookmarkEnd w:id="185"/>
      <w:r>
        <w:rPr>
          <w:rFonts w:ascii="Times New Roman" w:hAnsi="Times New Roman" w:eastAsia="Times New Roman" w:cs="Times New Roman"/>
          <w:sz w:val="22"/>
          <w:szCs w:val="22"/>
        </w:rPr>
      </w:r>
      <w:bookmarkEnd w:id="186"/>
      <w:r>
        <w:rPr>
          <w:rFonts w:ascii="Times New Roman" w:hAnsi="Times New Roman" w:eastAsia="Times New Roman" w:cs="Times New Roman"/>
          <w:sz w:val="22"/>
          <w:szCs w:val="22"/>
        </w:rPr>
      </w:r>
      <w:bookmarkEnd w:id="187"/>
      <w:r>
        <w:rPr>
          <w:rFonts w:ascii="Times New Roman" w:hAnsi="Times New Roman" w:eastAsia="Times New Roman" w:cs="Times New Roman"/>
          <w:sz w:val="22"/>
          <w:szCs w:val="22"/>
        </w:rPr>
      </w:r>
      <w:bookmarkEnd w:id="188"/>
      <w:r>
        <w:rPr>
          <w:rFonts w:ascii="Times New Roman" w:hAnsi="Times New Roman" w:eastAsia="Times New Roman" w:cs="Times New Roman"/>
          <w:sz w:val="22"/>
          <w:szCs w:val="22"/>
        </w:rPr>
      </w:r>
      <w:bookmarkEnd w:id="415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Закупка признается несостоявшейся в следующих случаях: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если по окончанию срока подачи заявок поступило менее 2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(двух) заявок (с учетом возможных отзывов заявок);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по результатам рассмотрения первых частей заявок / окончательных предложений Закупочной комиссией принято решение о признании менее 2 (двух) заявок соответствующими требованиям Документации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закупки;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по результатам рассмотрения вторых частей заявок и ценовых предложений Закупочной комиссией принято решение о признании менее 2 (двух) заявок соответствующими требованиям Документации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закупки;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по результатам рассмотрения дополнительных ценовых предложений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– если проводилась процедура переторжки,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Закупочной комиссией принято решение о признании менее 2 (двух) заявок соответствующими требованиям Документации о закупки.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Указанные обстоятельства в случае их наступления фиксируются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соответствующем протоколе, оформляемом по результатам проведения закупки (или ее этапа).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случае признания закупки несостоявшейся Заказчик вправе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(с учетом условий, предусмотренных Положением о закупке)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принять решение о проведении повторной закупки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том числе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возможностью снятия признака закупки только среди субъектов МСП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заключить договор с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динственным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частником несостоявшейся закупки (раздел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_Ref126142429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5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отказаться от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дополнительного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повторного проведения данной закупки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(при отсутствии заявок, соответствующих установленным требованиям, по результатам повторного проведения закупки)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16" w:name="_Toc33"/>
      <w:r>
        <w:rPr>
          <w:rFonts w:ascii="Times New Roman" w:hAnsi="Times New Roman" w:eastAsia="Times New Roman" w:cs="Times New Roman"/>
          <w:sz w:val="22"/>
          <w:szCs w:val="22"/>
        </w:rPr>
      </w:r>
      <w:bookmarkStart w:id="190" w:name="_Ref126141962"/>
      <w:r>
        <w:rPr>
          <w:rFonts w:ascii="Times New Roman" w:hAnsi="Times New Roman" w:eastAsia="Times New Roman" w:cs="Times New Roman"/>
          <w:sz w:val="22"/>
          <w:szCs w:val="22"/>
        </w:rPr>
      </w:r>
      <w:bookmarkStart w:id="191" w:name="_Ref132816134"/>
      <w:r>
        <w:rPr>
          <w:rFonts w:ascii="Times New Roman" w:hAnsi="Times New Roman" w:eastAsia="Times New Roman" w:cs="Times New Roman"/>
          <w:sz w:val="22"/>
          <w:szCs w:val="22"/>
        </w:rPr>
      </w:r>
      <w:bookmarkStart w:id="192" w:name="_Ref132816141"/>
      <w:r>
        <w:rPr>
          <w:rFonts w:ascii="Times New Roman" w:hAnsi="Times New Roman" w:eastAsia="Times New Roman" w:cs="Times New Roman"/>
          <w:sz w:val="22"/>
          <w:szCs w:val="22"/>
        </w:rPr>
        <w:t xml:space="preserve">Отказ от проведения закупки</w:t>
      </w:r>
      <w:bookmarkEnd w:id="190"/>
      <w:r>
        <w:rPr>
          <w:rFonts w:ascii="Times New Roman" w:hAnsi="Times New Roman" w:eastAsia="Times New Roman" w:cs="Times New Roman"/>
          <w:sz w:val="22"/>
          <w:szCs w:val="22"/>
        </w:rPr>
        <w:t xml:space="preserve"> (отмена закупки)</w:t>
      </w:r>
      <w:bookmarkEnd w:id="191"/>
      <w:r>
        <w:rPr>
          <w:rFonts w:ascii="Times New Roman" w:hAnsi="Times New Roman" w:eastAsia="Times New Roman" w:cs="Times New Roman"/>
          <w:sz w:val="22"/>
          <w:szCs w:val="22"/>
        </w:rPr>
      </w:r>
      <w:bookmarkEnd w:id="192"/>
      <w:r>
        <w:rPr>
          <w:rFonts w:ascii="Times New Roman" w:hAnsi="Times New Roman" w:eastAsia="Times New Roman" w:cs="Times New Roman"/>
          <w:sz w:val="22"/>
          <w:szCs w:val="22"/>
        </w:rPr>
      </w:r>
      <w:bookmarkEnd w:id="416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Организатор имеет право отказаться от проведения закупки не позднее окончания срока подачи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не неся никакой ответственности перед Участниками или третьими лицами, которым такое действие может принести убытки.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Организатор уведомляет всех Участников об отмене закупки посредством официального размещения информации в день принятия соответствующего решения об отмене.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гражданским законодательством.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17" w:name="_Toc34"/>
      <w:r>
        <w:rPr>
          <w:rFonts w:ascii="Times New Roman" w:hAnsi="Times New Roman" w:eastAsia="Times New Roman" w:cs="Times New Roman"/>
          <w:sz w:val="22"/>
          <w:szCs w:val="22"/>
        </w:rPr>
      </w:r>
      <w:bookmarkStart w:id="194" w:name="_Ref130455226"/>
      <w:r>
        <w:rPr>
          <w:rFonts w:ascii="Times New Roman" w:hAnsi="Times New Roman" w:eastAsia="Times New Roman" w:cs="Times New Roman"/>
          <w:sz w:val="22"/>
          <w:szCs w:val="22"/>
        </w:rPr>
      </w:r>
      <w:bookmarkStart w:id="195" w:name="_Ref130225422"/>
      <w:r>
        <w:rPr>
          <w:rFonts w:ascii="Times New Roman" w:hAnsi="Times New Roman" w:eastAsia="Times New Roman" w:cs="Times New Roman"/>
          <w:sz w:val="22"/>
          <w:szCs w:val="22"/>
        </w:rPr>
      </w:r>
      <w:bookmarkStart w:id="196" w:name="_Ref125361212"/>
      <w:r>
        <w:rPr>
          <w:rFonts w:ascii="Times New Roman" w:hAnsi="Times New Roman" w:eastAsia="Times New Roman" w:cs="Times New Roman"/>
          <w:sz w:val="22"/>
          <w:szCs w:val="22"/>
        </w:rPr>
      </w:r>
      <w:bookmarkStart w:id="197" w:name="_Ref125362671"/>
      <w:r>
        <w:rPr>
          <w:rFonts w:ascii="Times New Roman" w:hAnsi="Times New Roman" w:eastAsia="Times New Roman" w:cs="Times New Roman"/>
          <w:sz w:val="22"/>
          <w:szCs w:val="22"/>
        </w:rPr>
      </w:r>
      <w:bookmarkStart w:id="198" w:name="_Ref125363439"/>
      <w:r>
        <w:rPr>
          <w:rFonts w:ascii="Times New Roman" w:hAnsi="Times New Roman" w:eastAsia="Times New Roman" w:cs="Times New Roman"/>
          <w:sz w:val="22"/>
          <w:szCs w:val="22"/>
        </w:rPr>
      </w:r>
      <w:bookmarkStart w:id="199" w:name="_Ref125366769"/>
      <w:r>
        <w:rPr>
          <w:rFonts w:ascii="Times New Roman" w:hAnsi="Times New Roman" w:eastAsia="Times New Roman" w:cs="Times New Roman"/>
          <w:sz w:val="22"/>
          <w:szCs w:val="22"/>
        </w:rPr>
      </w:r>
      <w:bookmarkStart w:id="200" w:name="_Ref125367083"/>
      <w:r>
        <w:rPr>
          <w:rFonts w:ascii="Times New Roman" w:hAnsi="Times New Roman" w:eastAsia="Times New Roman" w:cs="Times New Roman"/>
          <w:sz w:val="22"/>
          <w:szCs w:val="22"/>
        </w:rPr>
      </w:r>
      <w:bookmarkStart w:id="201" w:name="_Ref125367087"/>
      <w:r>
        <w:rPr>
          <w:rFonts w:ascii="Times New Roman" w:hAnsi="Times New Roman" w:eastAsia="Times New Roman" w:cs="Times New Roman"/>
          <w:sz w:val="22"/>
          <w:szCs w:val="22"/>
        </w:rPr>
        <w:t xml:space="preserve">Особенности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проведения закупки с необходимостью обеспечения заявки</w:t>
      </w:r>
      <w:bookmarkEnd w:id="194"/>
      <w:r>
        <w:rPr>
          <w:rFonts w:ascii="Times New Roman" w:hAnsi="Times New Roman" w:eastAsia="Times New Roman" w:cs="Times New Roman"/>
          <w:sz w:val="22"/>
          <w:szCs w:val="22"/>
        </w:rPr>
      </w:r>
      <w:bookmarkEnd w:id="417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Нормы настоящего подраздела применяются, если подразделом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предусмотрена обязанность Участников предоставить обеспечение заявки 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участие в закупке.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Настоящий подраздел дополняет или изменяет порядок проведения закупки.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случае противоречий между требованиями настоящего подраздела и порядка проведения закупки или с инструкциями по подготовке заявки применяются требования настоящего подраздела.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Обязательства Участников, связанные с подачей заявок, обеспечиваются в форме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порядке и размере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соответствии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подразделом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Выбор формы (способа) обеспечения из числа предусмотренных осуществляется Участниками самостоятельно.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случае выбора Участником обеспечения заявки в виде денежных средств, такие денежные средства в требуемом размере должны быть внесены до момента окончания срока подачи заявок (подраздел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 на специальный банковский счет, открытый Участником в банке, включенном в перечень, определенный Правительством Российской Федерации в соответствии с Законом 44-ФЗ и размещенный на официальном сайте Министерства финансов Российской Федерации</w:t>
      </w:r>
      <w:r>
        <w:rPr>
          <w:rStyle w:val="1195"/>
          <w:rFonts w:ascii="Times New Roman" w:hAnsi="Times New Roman" w:eastAsia="Times New Roman" w:cs="Times New Roman"/>
          <w:sz w:val="22"/>
          <w:szCs w:val="22"/>
        </w:rPr>
        <w:footnoteReference w:id="11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 на сайте ЭП, с использованием которой проводится настоящая закупка, при условии соответствия банка требованиям 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оссийской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Ф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едерации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а также наличия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соответствующего соглашения об интеграции и обмене информацией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ператором ЭП.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течение 1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(одного) часа с момента окончания срока подачи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(подраздел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ператор ЭП направляет в банк, в котором Участником открыт специальный банковский счет, информацию о таком Участнике и размере денежных средств, необходимом для обеспечения заявки. Банк в течение 1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(одного)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об этом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ператора ЭП.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Блокирование денежных средств не осуществляется в случае отсутствия 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специальном банковском счете Участника денежных средств в требуемом размере, либо в случае приостановления операций по такому счету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соответствии с законодательством, о чем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ператор ЭП информируется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течение 1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(одного) часа.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сли блокирование денежных средств не может быть осуществлено,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ператор ЭП возвращает заявку подавшему ее Участнику в течение 1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(одного) часа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момента получения соответствующей информации от банка. Такая заявка автоматически отклоняется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ператором ЭП от дальнейшего участия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закупке, а сведения о ней не направляются в адрес Организатора.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случае выбора Участником обеспечения заявки путем предоставления независимой гарантии, такая независимая гарантия составляется с учетом требований статей 368 – 379 ГК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РФ, а также следующих условий: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езависимая гарантия должна быть безотзывной и безусловной (гарантия по первому требованию);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умма независимой гарантии должна быть выражена в российских рублях и составлять не менее суммы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установленной в подразделе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б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енефициаром в независимой гарантии должен быть указан Заказчик, принципалом – Участник, гарантом – организация, выдавшая независимую гарантию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подпункт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 _Ref132716380 \d ( \h \w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4.18.8(л)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независимой гарантии должно быть предусмотрено условие об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обязанности гаранта уплатить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аказчику (бенефициару) денежную сумму по независимой гарантии не позднее 10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(десяти) рабочих дней со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дня, следующего за днем получения гарантом требования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аказчика (бенефициара), соответствующего условиям такой независимой гарантии, при отсутствии предусмотренных ГК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РФ оснований для отказа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удовлетворении этого требования;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независимой гарантии должен быть указан перечень документов, подлежащих представлению заказчиком гаранту одновременно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требованием об уплате денежной суммы по независимой гарантии,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случае установления такого перечня Правительством Российской Федерации;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независимой гарантии должен быть указан срок действия независимой гарантии, который не может составлять менее одного месяца с даты окончания срока подачи 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(подраздел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езависимая гарантия не должна содержать условие о предоставлении Заказчиком гаранту судебных актов, подтверждающих неисполнение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частником обязательств, обеспечиваемых независимой гарантией;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независимой гарантии должно быть предусмотрено безусловное право Заказчика на истребование суммы независимой гарантии полностью или частично, в случае нарушения Участником закупки своих обязательств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ункт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_Ref132716182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4.18.14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езависимая гарантия должна содержать условия, предусмотренные Законом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223-ФЗ, а также соответствовать дополнительным требованиям 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независимой гарантии, используемой для целей проведения конкурентных закупок с участием субъектов МСП, устанавливаемым Правительством Р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оссийской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Ф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едерации;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независимой гарантии не должно быть условий или требований, противоречащих вышеизложенному или делающих вышеизложенное неисполнимым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203" w:name="_Ref132716380"/>
      <w:r>
        <w:rPr>
          <w:rFonts w:ascii="Times New Roman" w:hAnsi="Times New Roman" w:eastAsia="Times New Roman" w:cs="Times New Roman"/>
          <w:sz w:val="22"/>
          <w:szCs w:val="22"/>
        </w:rPr>
        <w:t xml:space="preserve">н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езависимая гарантия должна быть выдана организацией из числа указанных в части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 статьи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45 Закона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44-ФЗ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bookmarkEnd w:id="203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езависимая гарантия должна быть подчинена материальному праву Российской Федерации и регулироваться «Унифицированными правилами для гарантий по требованию, включая типовые формы (URDG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758)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убликация Международной торговой палаты №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758). Редакция 2010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года» в той мере, в какой указанные правила не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противоречат императивным нормам законодательства, а также предусматривать Арбитражный суд по месту нахождения Заказчика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качестве органа, компетентного разрешать споры из независимой гарантии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нформация о независимой гарантии должна быть включена в реестр независимых гарантий, предусмотренный частью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8 статьи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4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5 Закона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44</w:t>
      </w:r>
      <w:r>
        <w:rPr>
          <w:rFonts w:ascii="Times New Roman" w:hAnsi="Times New Roman" w:eastAsia="Times New Roman" w:cs="Times New Roman"/>
          <w:sz w:val="22"/>
          <w:szCs w:val="22"/>
        </w:rPr>
        <w:noBreakHyphen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ФЗ.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случае выбора Учас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тником обеспечения заявки путем предоставления независимой гарантии он должен предоставить в составе своей заявки копию такой гарантии, подтверждающую наличие обеспечения заявки в требуемом размере и соответствующую требованиям к условиям такой гарантии.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противном случае обеспечение заявки считается невнесенным, 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Организатор обязан отклонить заявку такого Участника.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Несоответствие независимой гарантии, предоставленной Участником закупки, предусмотренным настоящей Документацией о закупке требованиям, является основанием для отклонения заявки такого Участника.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 многолотовой закупк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(подраздел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_Ref149317133 \n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4.19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 обеспечение исполнения обязательств Участника оформляется на сумму, равную суммарной стоимости обеспечения по всем лотам, на которые Участник подает заявку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 также допускается внесение обеспечения отдельно по каждому из лотов. Удержание Организатором обеспечения может производиться только по тем лотам, 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которые Участник подал заявку и по которым он был признан Победителем.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Подать заявку (принять участие в закупке) могут только Участники, 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достав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вшие надлежащее обеспечение их заявок.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Требование об обеспечении заявки в равной мере распространяется на всех Участников.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204" w:name="_Ref132716182"/>
      <w:r>
        <w:rPr>
          <w:rFonts w:ascii="Times New Roman" w:hAnsi="Times New Roman" w:eastAsia="Times New Roman" w:cs="Times New Roman"/>
          <w:sz w:val="22"/>
          <w:szCs w:val="22"/>
        </w:rPr>
        <w:t xml:space="preserve">В случае признания Участника Победителем или принятия Заказчиком решения о заключении с ним Договора по итогам несостоявшейся закупки обеспечение заявки распространяется на следующие обязательства Участника:</w:t>
      </w:r>
      <w:bookmarkEnd w:id="204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обязательство заключить Договор в установленном Документацией о закупке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порядке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раздел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_Ref130224037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5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), в том числе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предоставить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Сведения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цепочке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собственников, включая бенефициаров (в том числе конечных) (</w:t>
      </w:r>
      <w:hyperlink w:tooltip="#Прил05_ФормыПобедителя" w:anchor="Прил05_ФормыПобедителя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Приложение № 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5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),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а также предоставить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иные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документы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соответствии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условиями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подраздела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_Ref138341423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5.2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обязательство предоставить до заключения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договора Заказчику обеспечение исполнения договора – если </w:t>
      </w:r>
      <w:hyperlink w:tooltip="#Прил02_ПроектДоговора" w:anchor="Прил02_ПроектДоговора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Проект договора (Приложение № 2)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 предусматривает обеспечение исполнения договора с соответствующим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обязательствами (в порядке и сроки, предусмотренные </w:t>
      </w:r>
      <w:hyperlink w:tooltip="#Прил02_ПроектДоговора" w:anchor="Прил02_ПроектДоговора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Проектом договора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случае невыполнения Победителем указанных выше обязательств Организатор вправе удержать обеспечение заявки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путем обращения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соответствующую организацию-гарант.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При этом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случае предоставления Участником обеспечения в виде денежных средств, сумма обеспечения заявки, внесенная на специальный банковский счет, перечисляется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б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анком-гарантом 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счет Заказчика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(подраздел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Возврат обеспечения заявки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(в случае предоставления Участником обеспечения в виде денежных средств)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осуществляется Организатором в срок не более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7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семи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 рабочих дней с даты: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принятия решения об отказе от проведения закупки – всем Участникам, подавшим заявки к моменту принятия такого решения;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поступления уведомления об отзыве заявки в случаях, когда такой отзыв осуществлен в установленные в Документации о закупке сроки – Участнику, отозвавшему заявку;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официального размещения итогового протокола по результатам закупки – всем Участникам, кроме Победителя;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заключения Договора по результатам закупки – Победителю, с которым заключен Договор;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признания закупки несостоявшейся – Участнику, которому обеспечение не было возвращено по иным основаниям.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Возврат обеспечения заявки может быть задержан в случае поступления в установленном законодательством порядке жалобы по закупке (подраздел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_Ref125363536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2.3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 – на время рассмотрения жалобы.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18" w:name="_Toc35"/>
      <w:r>
        <w:rPr>
          <w:rFonts w:ascii="Times New Roman" w:hAnsi="Times New Roman" w:eastAsia="Times New Roman" w:cs="Times New Roman"/>
          <w:sz w:val="22"/>
          <w:szCs w:val="22"/>
        </w:rPr>
      </w:r>
      <w:bookmarkStart w:id="205" w:name="_Ref149317133"/>
      <w:r>
        <w:rPr>
          <w:rFonts w:ascii="Times New Roman" w:hAnsi="Times New Roman" w:eastAsia="Times New Roman" w:cs="Times New Roman"/>
          <w:sz w:val="22"/>
          <w:szCs w:val="22"/>
        </w:rPr>
        <w:t xml:space="preserve">Особенности проведения 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ноголотов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закупк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bookmarkEnd w:id="195"/>
      <w:r>
        <w:rPr>
          <w:rFonts w:ascii="Times New Roman" w:hAnsi="Times New Roman" w:eastAsia="Times New Roman" w:cs="Times New Roman"/>
          <w:sz w:val="22"/>
          <w:szCs w:val="22"/>
        </w:rPr>
      </w:r>
      <w:bookmarkEnd w:id="205"/>
      <w:r>
        <w:rPr>
          <w:rFonts w:ascii="Times New Roman" w:hAnsi="Times New Roman" w:eastAsia="Times New Roman" w:cs="Times New Roman"/>
          <w:sz w:val="22"/>
          <w:szCs w:val="22"/>
        </w:rPr>
      </w:r>
      <w:bookmarkEnd w:id="418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Нормы настоящего подраздела применяются, если подразделом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предусмотрено проведение многолотовой закупки.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Настоящий подраздел дополняет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или изменяет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порядок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проведения закупки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случае противоречий между требованиями настоящего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подраздела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порядка проведения закупки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 инструкциями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подготовке заяв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применяются требования настоящего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раздела.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Многолотовая закупка может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проводиться как для одного, так и для нескольких Заказчиков. Для всех лотов выпускается общее Извещение, Документация о закупке, решения по каждому лоту принимает одна и та же Закупочная комиссия. Любые положения Документации о закупке, если в них прямо не</w:t>
      </w:r>
      <w:r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указан номер конкретного лота, относятся ко всем лотам одновременно.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Участник может подать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одну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заявку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/ одно окончательное предложение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любой лот, любые несколько лотов или все лоты по собственному выбору.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При этом не допускается разбиение отдельного лота на части, то есть подача заявки на часть лота по отдельным видам или объемам продукции.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многолотовой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подача Участником по одной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заявке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/ одному окончательному предложению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на каждый лот, не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считается подач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второй заявки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/ окончательного предложения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закупку.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случае подачи заявки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/ окончательного предложения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на несколько лотов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дополнительно должны быть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соблюдены следующие требования: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Письмо о подаче оферты (форма 2)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</w:t>
      </w:r>
      <w:hyperlink w:tooltip="#Прил04_ФормыЗаявки" w:anchor="Прил04_ФормыЗаявки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Приложение № 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4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должно содержать указание номера и названия каждого лота;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Коммерческое предложение (форма 3), Техническое предложение (форма 4), Календарный график (форма 5)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План распределения объемов поставки продукции (форма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11)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</w:t>
      </w:r>
      <w:hyperlink w:tooltip="#Прил04_ФормыЗаявки" w:anchor="Прил04_ФормыЗаявки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Приложение № 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4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должны быть подготовлены отдельно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каждому из лотов с указанием номера и названия лота.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Решения, принимаемые в ходе процедуры закупки, в том числе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решения в рамках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рассмотрени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(первых частей заявок / окончательных предложений, вторых частей заявок и ценовых предложений, рассмотрения дополнительных ценовых предложений – если проводилась процедура переторжки)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оценк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 и сопоставления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заявок, определени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Победителя, признани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закупки несостоявшейся, отказ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от дальнейшего ее проведения и т.д., осуществляются раздельно и независимо по каждому из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лотов. При этом Организатор вправе оформить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каждому лоту отдельный протокол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закупки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или сформировать общий по всем лотам протокол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закупки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который в отношении каждого лота вносятся сведения, подлежащие официальному размещению.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19" w:name="_Toc36"/>
      <w:r>
        <w:rPr>
          <w:rFonts w:ascii="Times New Roman" w:hAnsi="Times New Roman" w:eastAsia="Times New Roman" w:cs="Times New Roman"/>
          <w:sz w:val="22"/>
          <w:szCs w:val="22"/>
        </w:rPr>
      </w:r>
      <w:bookmarkStart w:id="211" w:name="_Ref126142429"/>
      <w:r>
        <w:rPr>
          <w:rFonts w:ascii="Times New Roman" w:hAnsi="Times New Roman" w:eastAsia="Times New Roman" w:cs="Times New Roman"/>
          <w:sz w:val="22"/>
          <w:szCs w:val="22"/>
        </w:rPr>
      </w:r>
      <w:bookmarkStart w:id="212" w:name="_Ref130224037"/>
      <w:r>
        <w:rPr>
          <w:rFonts w:ascii="Times New Roman" w:hAnsi="Times New Roman" w:eastAsia="Times New Roman" w:cs="Times New Roman"/>
          <w:sz w:val="22"/>
          <w:szCs w:val="22"/>
        </w:rPr>
        <w:t xml:space="preserve">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орядок заключения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оговора</w:t>
      </w:r>
      <w:bookmarkEnd w:id="196"/>
      <w:r>
        <w:rPr>
          <w:rFonts w:ascii="Times New Roman" w:hAnsi="Times New Roman" w:eastAsia="Times New Roman" w:cs="Times New Roman"/>
          <w:sz w:val="22"/>
          <w:szCs w:val="22"/>
        </w:rPr>
      </w:r>
      <w:bookmarkEnd w:id="197"/>
      <w:r>
        <w:rPr>
          <w:rFonts w:ascii="Times New Roman" w:hAnsi="Times New Roman" w:eastAsia="Times New Roman" w:cs="Times New Roman"/>
          <w:sz w:val="22"/>
          <w:szCs w:val="22"/>
        </w:rPr>
      </w:r>
      <w:bookmarkEnd w:id="198"/>
      <w:r>
        <w:rPr>
          <w:rFonts w:ascii="Times New Roman" w:hAnsi="Times New Roman" w:eastAsia="Times New Roman" w:cs="Times New Roman"/>
          <w:sz w:val="22"/>
          <w:szCs w:val="22"/>
        </w:rPr>
      </w:r>
      <w:bookmarkEnd w:id="199"/>
      <w:r>
        <w:rPr>
          <w:rFonts w:ascii="Times New Roman" w:hAnsi="Times New Roman" w:eastAsia="Times New Roman" w:cs="Times New Roman"/>
          <w:sz w:val="22"/>
          <w:szCs w:val="22"/>
        </w:rPr>
      </w:r>
      <w:bookmarkEnd w:id="200"/>
      <w:r>
        <w:rPr>
          <w:rFonts w:ascii="Times New Roman" w:hAnsi="Times New Roman" w:eastAsia="Times New Roman" w:cs="Times New Roman"/>
          <w:sz w:val="22"/>
          <w:szCs w:val="22"/>
        </w:rPr>
      </w:r>
      <w:bookmarkEnd w:id="201"/>
      <w:r>
        <w:rPr>
          <w:rFonts w:ascii="Times New Roman" w:hAnsi="Times New Roman" w:eastAsia="Times New Roman" w:cs="Times New Roman"/>
          <w:sz w:val="22"/>
          <w:szCs w:val="22"/>
        </w:rPr>
      </w:r>
      <w:bookmarkEnd w:id="211"/>
      <w:r>
        <w:rPr>
          <w:rFonts w:ascii="Times New Roman" w:hAnsi="Times New Roman" w:eastAsia="Times New Roman" w:cs="Times New Roman"/>
          <w:sz w:val="22"/>
          <w:szCs w:val="22"/>
        </w:rPr>
      </w:r>
      <w:bookmarkEnd w:id="212"/>
      <w:r>
        <w:rPr>
          <w:rFonts w:ascii="Times New Roman" w:hAnsi="Times New Roman" w:eastAsia="Times New Roman" w:cs="Times New Roman"/>
          <w:sz w:val="22"/>
          <w:szCs w:val="22"/>
        </w:rPr>
      </w:r>
      <w:bookmarkEnd w:id="419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20" w:name="_Toc37"/>
      <w:r>
        <w:rPr>
          <w:rFonts w:ascii="Times New Roman" w:hAnsi="Times New Roman" w:eastAsia="Times New Roman" w:cs="Times New Roman"/>
          <w:sz w:val="22"/>
          <w:szCs w:val="22"/>
        </w:rPr>
      </w:r>
      <w:bookmarkStart w:id="214" w:name="_Ref125366947"/>
      <w:r>
        <w:rPr>
          <w:rFonts w:ascii="Times New Roman" w:hAnsi="Times New Roman" w:eastAsia="Times New Roman" w:cs="Times New Roman"/>
          <w:sz w:val="22"/>
          <w:szCs w:val="22"/>
        </w:rPr>
      </w:r>
      <w:bookmarkStart w:id="215" w:name="_Ref125368755"/>
      <w:r>
        <w:rPr>
          <w:rFonts w:ascii="Times New Roman" w:hAnsi="Times New Roman" w:eastAsia="Times New Roman" w:cs="Times New Roman"/>
          <w:sz w:val="22"/>
          <w:szCs w:val="22"/>
        </w:rPr>
        <w:t xml:space="preserve">Общие положения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420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Нормы настоящего раздела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_Ref126142429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5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также применяются в отношении Единственного участника несостоявшейся закупки, с которым принято решение о заключении договора (к нему применяются те же нормы, что и в отношении Победителя).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21" w:name="_Toc38"/>
      <w:r>
        <w:rPr>
          <w:rFonts w:ascii="Times New Roman" w:hAnsi="Times New Roman" w:eastAsia="Times New Roman" w:cs="Times New Roman"/>
          <w:sz w:val="22"/>
          <w:szCs w:val="22"/>
        </w:rPr>
      </w:r>
      <w:bookmarkStart w:id="217" w:name="_Ref138341423"/>
      <w:r>
        <w:rPr>
          <w:rFonts w:ascii="Times New Roman" w:hAnsi="Times New Roman" w:eastAsia="Times New Roman" w:cs="Times New Roman"/>
          <w:sz w:val="22"/>
          <w:szCs w:val="22"/>
        </w:rPr>
        <w:t xml:space="preserve">Заключение Договора</w:t>
      </w:r>
      <w:bookmarkEnd w:id="214"/>
      <w:r>
        <w:rPr>
          <w:rFonts w:ascii="Times New Roman" w:hAnsi="Times New Roman" w:eastAsia="Times New Roman" w:cs="Times New Roman"/>
          <w:sz w:val="22"/>
          <w:szCs w:val="22"/>
        </w:rPr>
      </w:r>
      <w:bookmarkEnd w:id="215"/>
      <w:r>
        <w:rPr>
          <w:rFonts w:ascii="Times New Roman" w:hAnsi="Times New Roman" w:eastAsia="Times New Roman" w:cs="Times New Roman"/>
          <w:sz w:val="22"/>
          <w:szCs w:val="22"/>
        </w:rPr>
      </w:r>
      <w:bookmarkEnd w:id="217"/>
      <w:r>
        <w:rPr>
          <w:rFonts w:ascii="Times New Roman" w:hAnsi="Times New Roman" w:eastAsia="Times New Roman" w:cs="Times New Roman"/>
          <w:sz w:val="22"/>
          <w:szCs w:val="22"/>
        </w:rPr>
      </w:r>
      <w:bookmarkEnd w:id="421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219" w:name="_Ref125362935"/>
      <w:r>
        <w:rPr>
          <w:rFonts w:ascii="Times New Roman" w:hAnsi="Times New Roman" w:eastAsia="Times New Roman" w:cs="Times New Roman"/>
          <w:sz w:val="22"/>
          <w:szCs w:val="22"/>
        </w:rPr>
      </w:r>
      <w:bookmarkStart w:id="220" w:name="_Ref130293821"/>
      <w:r>
        <w:rPr>
          <w:rFonts w:ascii="Times New Roman" w:hAnsi="Times New Roman" w:eastAsia="Times New Roman" w:cs="Times New Roman"/>
          <w:sz w:val="22"/>
          <w:szCs w:val="22"/>
        </w:rPr>
        <w:t xml:space="preserve">Договор между Заказчиком и Победителем заключается не ранее чем через 10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(десять) календарных дней и не позднее чем через 20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(двадцать) календарных дней с даты официального размещения итогового протокола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результатам закупки.</w:t>
      </w:r>
      <w:bookmarkEnd w:id="219"/>
      <w:r>
        <w:rPr>
          <w:rFonts w:ascii="Times New Roman" w:hAnsi="Times New Roman" w:eastAsia="Times New Roman" w:cs="Times New Roman"/>
          <w:sz w:val="22"/>
          <w:szCs w:val="22"/>
        </w:rPr>
      </w:r>
      <w:bookmarkEnd w:id="220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Договор не может быть заключен, если это запрещено законодательством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национальном режиме в случаях, установленных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подразделе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_Ref186181253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4.14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221" w:name="_Ref125363464"/>
      <w:r>
        <w:rPr>
          <w:rFonts w:ascii="Times New Roman" w:hAnsi="Times New Roman" w:eastAsia="Times New Roman" w:cs="Times New Roman"/>
          <w:sz w:val="22"/>
          <w:szCs w:val="22"/>
        </w:rPr>
        <w:t xml:space="preserve">В целях заключения Договора Участник, признанный Победителем, обязан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срок не позднее 3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(трех) рабочих дней с даты официального размещения Организатором итогового протокола по результатам закупки, направить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адресу,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определенному в подразделе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_Ref125359973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как 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есто подачи документов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отношении цепочки собственников, включая конечных бенефициаров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Справку о цепочке собственников, включая бенефициаров (в том числе конечных), по форме в соответствии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hyperlink w:tooltip="#Прил05_ФормыПобедителя" w:anchor="Прил05_ФормыПобедителя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Приложением № 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5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 приложением подтверждающих документов согласно перечню, установленному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 к указанной справке. Данные документы должны быть предоставлены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бумажном виде и на электронном носителе в отдельном запечатанном конверте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надписью «Документы Победителя о цепочке собственников».</w:t>
      </w:r>
      <w:bookmarkEnd w:id="221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срок не позднее 3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(трех) рабочих дней с даты официального размещения Организатором итогового протокола по результатам закупки, Победитель обязан предоставить Заказчику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(скан-копия в формате </w:t>
      </w:r>
      <w:r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pdf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Заверение об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обстоятельствах, представляющ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 собой гарантийное письмо об отсутствии обстоятельств,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препятствующих заключению Договора, в случаях и по форме, предусмотренных </w:t>
      </w:r>
      <w:hyperlink w:tooltip="#Прил05_ФормыПобедителя" w:anchor="Прил05_ФормыПобедителя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Приложением № 5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222" w:name="_Ref125551072"/>
      <w:r>
        <w:rPr>
          <w:rFonts w:ascii="Times New Roman" w:hAnsi="Times New Roman" w:eastAsia="Times New Roman" w:cs="Times New Roman"/>
          <w:sz w:val="22"/>
          <w:szCs w:val="22"/>
        </w:rPr>
        <w:t xml:space="preserve">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еред заключением Договора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Победитель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обязан предоставить Заказчику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не позднее сроков, установленных в пункте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_Ref130293821 \w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5.2.1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в целях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подтверждения своего соответствия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обязательному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требовани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ю к Участникам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указанн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пункте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_Ref125552433 \w \h </w:instrText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\* MERGEFORMAT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подраздела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_Ref125361435 \w \h </w:instrText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\* MERGEFORMAT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8.2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</w:t>
      </w:r>
      <w:hyperlink w:tooltip="#Прил03_ТребованияУчастникам" w:anchor="Прил03_ТребованияУчастникам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Приложение № 3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следующие документы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(скан-копии в формате </w:t>
      </w:r>
      <w:r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pdf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Style w:val="1195"/>
          <w:rFonts w:ascii="Times New Roman" w:hAnsi="Times New Roman" w:eastAsia="Times New Roman" w:cs="Times New Roman"/>
          <w:sz w:val="22"/>
          <w:szCs w:val="22"/>
        </w:rPr>
        <w:footnoteReference w:id="12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</w:t>
      </w:r>
      <w:bookmarkEnd w:id="222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для юридического лица: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опия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става в действующей редакции с отметкой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ИФНС либо копия нотариально заверенного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става (с отметкой нотариуса);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223" w:name="_Ref125638686"/>
      <w:r>
        <w:rPr>
          <w:rFonts w:ascii="Times New Roman" w:hAnsi="Times New Roman" w:eastAsia="Times New Roman" w:cs="Times New Roman"/>
          <w:sz w:val="22"/>
          <w:szCs w:val="22"/>
        </w:rPr>
        <w:t xml:space="preserve">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передаче полномочий Управляющей компании), заверенные Победителем;</w:t>
      </w:r>
      <w:bookmarkEnd w:id="223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дополнительно предоставляется машиночитаемая доверенность (посредством информационных систем, на которых проводится закупка)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на физическое лицо, которое подписывает договор;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для лиц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зарегистрированн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ого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вне Российской Федерации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ыписк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из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торгового реестра страны регистрации иностранного Участника;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д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ля физическ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ого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лиц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нотариально заверенная копия всех страниц документа, удостоверяющего личность (паспорта);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224" w:name="_Ref125361554"/>
      <w:r>
        <w:rPr>
          <w:rFonts w:ascii="Times New Roman" w:hAnsi="Times New Roman" w:eastAsia="Times New Roman" w:cs="Times New Roman"/>
          <w:sz w:val="22"/>
          <w:szCs w:val="22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сли Договор заключается с лидером Коллективного участника, то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обязательном порядке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предоставляется оригинал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нотариально заверенная копия Соглашения между членами Коллективного участника, указанного в пункте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_Ref125366972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3.2.3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bookmarkEnd w:id="224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сли в соответствии с законодательством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ставом Заказчика потребуется предварительное одобрение заключаемого 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не позднее чем через 5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(пять) календарных дней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даты указанного одобрения.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случае обжалования в антимонопольном органе результатов закупки Договор заключается не позднее чем через 5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(пять) календарных дней с даты вынесения решения антимонопольного органа по результатам такого обжалования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(за исключением случая возврата на предыдущий этап закупки)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225" w:name="_Ref132288402"/>
      <w:r>
        <w:rPr>
          <w:rFonts w:ascii="Times New Roman" w:hAnsi="Times New Roman" w:eastAsia="Times New Roman" w:cs="Times New Roman"/>
          <w:sz w:val="22"/>
          <w:szCs w:val="22"/>
        </w:rPr>
        <w:t xml:space="preserve">При определении условий Договора по результатам закупки используются следующие документы с соблюдением указанной иерархии в порядке перечисления (в случае их противоречия):</w:t>
      </w:r>
      <w:bookmarkEnd w:id="225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итоговый протокол по результатам закупки;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Извещение и Документация о закупке со всеми изменениями;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заявка Победителя со всеми дополнениями и разъяснениями.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Договор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согласовывается 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заключается с использованием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функционала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ЭП,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том числе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подпис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ывается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усиленной квалифицированной электронной подписью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уполномоченного лица Победителя 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Заказчика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соответственно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течение установленного в пункте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_Ref130293821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5.2.1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срока Заказчик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 использованием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функционала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ЭП направляет в адрес Победителя заполненный со своей стороны проект Договора.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226" w:name="_Ref49437111"/>
      <w:r>
        <w:rPr>
          <w:rFonts w:ascii="Times New Roman" w:hAnsi="Times New Roman" w:eastAsia="Times New Roman" w:cs="Times New Roman"/>
          <w:sz w:val="22"/>
          <w:szCs w:val="22"/>
        </w:rPr>
        <w:t xml:space="preserve">В случае наличия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 Победителя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разногласий по направленному Заказчиком проекту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оговора,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Победитель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составляет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ротокол разногласий с указанием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нем своих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замечаний к положениям проекта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оговора, не соответствующим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условиям настоящей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окументации о закупке 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заявке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Победителя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приведением ссылок на конкретные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пункты / положения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данных документов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которым они не соответствуют)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Протокол разногласий направляется Заказчику с использованием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функционала ЭП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После рассмотрения указанного протокола разногласий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Заказчик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вправе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направ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ить Победителю доработанный проект Д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оговора либо повторно направ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ить исходный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проект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оговора с указанием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отдельном документе причин отказа учесть полностью или частично замечания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содержащиеся в протоколе разногласий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Победителя.</w:t>
      </w:r>
      <w:bookmarkEnd w:id="226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227" w:name="_Ref125368506"/>
      <w:r>
        <w:rPr>
          <w:rFonts w:ascii="Times New Roman" w:hAnsi="Times New Roman" w:eastAsia="Times New Roman" w:cs="Times New Roman"/>
          <w:sz w:val="22"/>
          <w:szCs w:val="22"/>
        </w:rPr>
        <w:t xml:space="preserve">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ведения о заключенном Договоре в течение 3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(трех) рабочих дней со дня заключения такого Договора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на ЭП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вносятся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Оператором ЭП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в Реестр договоров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ЕИС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(если размещение таких сведений допустимо Законом 223-ФЗ)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 Если при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заключении и исполнении Договора изменятся количество, объем, цена закупаемой продукции или сроки исполнения Договора (по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сравнению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указанными в итоговом протоколе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результатам закупки), то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течение 10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(десяти) календарных дней со дня внесения таких изменений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Договор </w:t>
      </w:r>
      <w:bookmarkStart w:id="228" w:name="_Hlk132806825"/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соответствующая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информаци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 указанием измененных условий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Договора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также размещается в ЕИС (если размещение таких сведений допустимо Законом 223-ФЗ)</w:t>
      </w:r>
      <w:bookmarkEnd w:id="228"/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bookmarkEnd w:id="227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Если до момента заключения с Договора в отношении Победителя была проведена повторная проверка в рамках мониторинга аккредитованных поставщиков (в соответствии с Положением об аккредитации), и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результатам такой проверки ему присвоен статус «не аккредитован», то он утрачивает статус Победителя, а Закупочная комиссия имеет право выбрать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качестве Победителя иного Участника, занявшего следующее место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ранжировке заявок после Победителя, из числа остальных действующих заявок (при наличии у него статуса «аккредитован» / «аккредитация не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требуется»).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22" w:name="_Toc39"/>
      <w:r>
        <w:rPr>
          <w:rFonts w:ascii="Times New Roman" w:hAnsi="Times New Roman" w:eastAsia="Times New Roman" w:cs="Times New Roman"/>
          <w:sz w:val="22"/>
          <w:szCs w:val="22"/>
        </w:rPr>
      </w:r>
      <w:bookmarkStart w:id="229" w:name="_Ref125367068"/>
      <w:r>
        <w:rPr>
          <w:rFonts w:ascii="Times New Roman" w:hAnsi="Times New Roman" w:eastAsia="Times New Roman" w:cs="Times New Roman"/>
          <w:sz w:val="22"/>
          <w:szCs w:val="22"/>
        </w:rPr>
        <w:t xml:space="preserve">Уклонение Победителя от заключения Договора</w:t>
      </w:r>
      <w:bookmarkEnd w:id="229"/>
      <w:r>
        <w:rPr>
          <w:rFonts w:ascii="Times New Roman" w:hAnsi="Times New Roman" w:eastAsia="Times New Roman" w:cs="Times New Roman"/>
          <w:sz w:val="22"/>
          <w:szCs w:val="22"/>
        </w:rPr>
      </w:r>
      <w:bookmarkEnd w:id="422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сли Победитель закупки: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не подпишет Договор в установленные Документацией о закупке сроки (пункт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_Ref130293821 \r \h </w:instrText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\* MERGEFORMAT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5.2.1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откажется от подписания Договора на условиях, определяемых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соответствии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 пунктом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_Ref132288402 \r \h </w:instrText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\* MERGEFORMAT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5.2.8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не раскроет информацию в отношении всей цепочки собственников, включая бенефициаров (в том числе конечных), по установленной форме (</w:t>
      </w:r>
      <w:hyperlink w:tooltip="#Прил05_ФормыПобедителя" w:anchor="Прил05_ФормыПобедителя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Приложение № 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5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), с приложением подтверждающих документов;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не предоставит Заверение об обстоятельствах, представляющ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собой гарантийное письмо об отсутствии обстоятельств, препятствующих заключению Договора, в случаях и по форме, предусмотренных </w:t>
      </w:r>
      <w:hyperlink w:tooltip="#Прил05_ФормыПобедителя" w:anchor="Прил05_ФормыПобедителя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Приложением № 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5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не предоставит копии документов, обязательных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к предоставлению Победителем закупки в соответствии с требованиями </w:t>
      </w:r>
      <w:hyperlink w:tooltip="#Прил01_ТехТребования" w:anchor="Прил01_ТехТребования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Приложения №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 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1 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– 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</w:rPr>
          <w:t xml:space="preserve">Технические требования</w:t>
        </w:r>
      </w:hyperlink>
      <w:r>
        <w:rPr>
          <w:rFonts w:ascii="Times New Roman" w:hAnsi="Times New Roman" w:eastAsia="Times New Roman" w:cs="Times New Roman"/>
          <w:sz w:val="22"/>
          <w:szCs w:val="22"/>
        </w:rPr>
        <w:t xml:space="preserve"> (в случае установления таковых);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не предоставит обеспечение исполнения договора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до момента его заключения,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если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Документация о закупке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предусматривает обеспечение исполнения договора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соответствующими обязательствами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не выполнит другие условия, прямо предусмотренные Документацией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закупке,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left="113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то он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 истечению установленных в подразделе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_Ref138341423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5.2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сроков на заключение Договора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признается уклонившимся от заключения Договора и утрачивает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статус Победителя, а 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действующих заявок.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23" w:name="_Toc40"/>
      <w:r>
        <w:rPr>
          <w:rFonts w:ascii="Times New Roman" w:hAnsi="Times New Roman" w:eastAsia="Times New Roman" w:cs="Times New Roman"/>
          <w:sz w:val="22"/>
          <w:szCs w:val="22"/>
        </w:rPr>
      </w:r>
      <w:bookmarkStart w:id="231" w:name="_Ref125363016"/>
      <w:r>
        <w:rPr>
          <w:rFonts w:ascii="Times New Roman" w:hAnsi="Times New Roman" w:eastAsia="Times New Roman" w:cs="Times New Roman"/>
          <w:sz w:val="22"/>
          <w:szCs w:val="22"/>
        </w:rPr>
      </w:r>
      <w:bookmarkStart w:id="232" w:name="_Ref125363023"/>
      <w:r>
        <w:rPr>
          <w:rFonts w:ascii="Times New Roman" w:hAnsi="Times New Roman" w:eastAsia="Times New Roman" w:cs="Times New Roman"/>
          <w:sz w:val="22"/>
          <w:szCs w:val="22"/>
        </w:rPr>
      </w:r>
      <w:bookmarkStart w:id="233" w:name="_Ref125363034"/>
      <w:r>
        <w:rPr>
          <w:rFonts w:ascii="Times New Roman" w:hAnsi="Times New Roman" w:eastAsia="Times New Roman" w:cs="Times New Roman"/>
          <w:sz w:val="22"/>
          <w:szCs w:val="22"/>
        </w:rPr>
      </w:r>
      <w:bookmarkStart w:id="234" w:name="_Ref125363600"/>
      <w:r>
        <w:rPr>
          <w:rFonts w:ascii="Times New Roman" w:hAnsi="Times New Roman" w:eastAsia="Times New Roman" w:cs="Times New Roman"/>
          <w:sz w:val="22"/>
          <w:szCs w:val="22"/>
        </w:rPr>
      </w:r>
      <w:bookmarkStart w:id="235" w:name="_Ref125363752"/>
      <w:r>
        <w:rPr>
          <w:rFonts w:ascii="Times New Roman" w:hAnsi="Times New Roman" w:eastAsia="Times New Roman" w:cs="Times New Roman"/>
          <w:sz w:val="22"/>
          <w:szCs w:val="22"/>
        </w:rPr>
      </w:r>
      <w:bookmarkStart w:id="236" w:name="_Ref125364088"/>
      <w:r>
        <w:rPr>
          <w:rFonts w:ascii="Times New Roman" w:hAnsi="Times New Roman" w:eastAsia="Times New Roman" w:cs="Times New Roman"/>
          <w:sz w:val="22"/>
          <w:szCs w:val="22"/>
        </w:rPr>
      </w:r>
      <w:bookmarkStart w:id="237" w:name="_Ref125364201"/>
      <w:r>
        <w:rPr>
          <w:rFonts w:ascii="Times New Roman" w:hAnsi="Times New Roman" w:eastAsia="Times New Roman" w:cs="Times New Roman"/>
          <w:sz w:val="22"/>
          <w:szCs w:val="22"/>
        </w:rPr>
      </w:r>
      <w:bookmarkStart w:id="238" w:name="_Ref125370732"/>
      <w:r>
        <w:rPr>
          <w:rFonts w:ascii="Times New Roman" w:hAnsi="Times New Roman" w:eastAsia="Times New Roman" w:cs="Times New Roman"/>
          <w:sz w:val="22"/>
          <w:szCs w:val="22"/>
        </w:rPr>
      </w:r>
      <w:bookmarkStart w:id="239" w:name="_Ref125370741"/>
      <w:r>
        <w:rPr>
          <w:rFonts w:ascii="Times New Roman" w:hAnsi="Times New Roman" w:eastAsia="Times New Roman" w:cs="Times New Roman"/>
          <w:sz w:val="22"/>
          <w:szCs w:val="22"/>
        </w:rPr>
      </w:r>
      <w:bookmarkStart w:id="240" w:name="_Ref125370746"/>
      <w:r>
        <w:rPr>
          <w:rFonts w:ascii="Times New Roman" w:hAnsi="Times New Roman" w:eastAsia="Times New Roman" w:cs="Times New Roman"/>
          <w:sz w:val="22"/>
          <w:szCs w:val="22"/>
        </w:rPr>
      </w:r>
      <w:bookmarkStart w:id="241" w:name="_Ref125370750"/>
      <w:r>
        <w:rPr>
          <w:rFonts w:ascii="Times New Roman" w:hAnsi="Times New Roman" w:eastAsia="Times New Roman" w:cs="Times New Roman"/>
          <w:sz w:val="22"/>
          <w:szCs w:val="22"/>
        </w:rPr>
      </w:r>
      <w:bookmarkStart w:id="242" w:name="_Ref125370843"/>
      <w:r>
        <w:rPr>
          <w:rFonts w:ascii="Times New Roman" w:hAnsi="Times New Roman" w:eastAsia="Times New Roman" w:cs="Times New Roman"/>
          <w:sz w:val="22"/>
          <w:szCs w:val="22"/>
        </w:rPr>
      </w:r>
      <w:bookmarkStart w:id="243" w:name="Прил01_ТехТребования"/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 1 – Технические требования</w:t>
      </w:r>
      <w:bookmarkEnd w:id="231"/>
      <w:r>
        <w:rPr>
          <w:rFonts w:ascii="Times New Roman" w:hAnsi="Times New Roman" w:eastAsia="Times New Roman" w:cs="Times New Roman"/>
          <w:sz w:val="22"/>
          <w:szCs w:val="22"/>
        </w:rPr>
      </w:r>
      <w:bookmarkEnd w:id="232"/>
      <w:r>
        <w:rPr>
          <w:rFonts w:ascii="Times New Roman" w:hAnsi="Times New Roman" w:eastAsia="Times New Roman" w:cs="Times New Roman"/>
          <w:sz w:val="22"/>
          <w:szCs w:val="22"/>
        </w:rPr>
      </w:r>
      <w:bookmarkEnd w:id="233"/>
      <w:r>
        <w:rPr>
          <w:rFonts w:ascii="Times New Roman" w:hAnsi="Times New Roman" w:eastAsia="Times New Roman" w:cs="Times New Roman"/>
          <w:sz w:val="22"/>
          <w:szCs w:val="22"/>
        </w:rPr>
      </w:r>
      <w:bookmarkEnd w:id="234"/>
      <w:r>
        <w:rPr>
          <w:rFonts w:ascii="Times New Roman" w:hAnsi="Times New Roman" w:eastAsia="Times New Roman" w:cs="Times New Roman"/>
          <w:sz w:val="22"/>
          <w:szCs w:val="22"/>
        </w:rPr>
      </w:r>
      <w:bookmarkEnd w:id="235"/>
      <w:r>
        <w:rPr>
          <w:rFonts w:ascii="Times New Roman" w:hAnsi="Times New Roman" w:eastAsia="Times New Roman" w:cs="Times New Roman"/>
          <w:sz w:val="22"/>
          <w:szCs w:val="22"/>
        </w:rPr>
      </w:r>
      <w:bookmarkEnd w:id="236"/>
      <w:r>
        <w:rPr>
          <w:rFonts w:ascii="Times New Roman" w:hAnsi="Times New Roman" w:eastAsia="Times New Roman" w:cs="Times New Roman"/>
          <w:sz w:val="22"/>
          <w:szCs w:val="22"/>
        </w:rPr>
      </w:r>
      <w:bookmarkEnd w:id="237"/>
      <w:r>
        <w:rPr>
          <w:rFonts w:ascii="Times New Roman" w:hAnsi="Times New Roman" w:eastAsia="Times New Roman" w:cs="Times New Roman"/>
          <w:sz w:val="22"/>
          <w:szCs w:val="22"/>
        </w:rPr>
      </w:r>
      <w:bookmarkEnd w:id="238"/>
      <w:r>
        <w:rPr>
          <w:rFonts w:ascii="Times New Roman" w:hAnsi="Times New Roman" w:eastAsia="Times New Roman" w:cs="Times New Roman"/>
          <w:sz w:val="22"/>
          <w:szCs w:val="22"/>
        </w:rPr>
      </w:r>
      <w:bookmarkEnd w:id="239"/>
      <w:r>
        <w:rPr>
          <w:rFonts w:ascii="Times New Roman" w:hAnsi="Times New Roman" w:eastAsia="Times New Roman" w:cs="Times New Roman"/>
          <w:sz w:val="22"/>
          <w:szCs w:val="22"/>
        </w:rPr>
      </w:r>
      <w:bookmarkEnd w:id="240"/>
      <w:r>
        <w:rPr>
          <w:rFonts w:ascii="Times New Roman" w:hAnsi="Times New Roman" w:eastAsia="Times New Roman" w:cs="Times New Roman"/>
          <w:sz w:val="22"/>
          <w:szCs w:val="22"/>
        </w:rPr>
      </w:r>
      <w:bookmarkEnd w:id="241"/>
      <w:r>
        <w:rPr>
          <w:rFonts w:ascii="Times New Roman" w:hAnsi="Times New Roman" w:eastAsia="Times New Roman" w:cs="Times New Roman"/>
          <w:sz w:val="22"/>
          <w:szCs w:val="22"/>
        </w:rPr>
      </w:r>
      <w:bookmarkEnd w:id="242"/>
      <w:r>
        <w:rPr>
          <w:rFonts w:ascii="Times New Roman" w:hAnsi="Times New Roman" w:eastAsia="Times New Roman" w:cs="Times New Roman"/>
          <w:sz w:val="22"/>
          <w:szCs w:val="22"/>
        </w:rPr>
      </w:r>
      <w:bookmarkEnd w:id="243"/>
      <w:r>
        <w:rPr>
          <w:rFonts w:ascii="Times New Roman" w:hAnsi="Times New Roman" w:eastAsia="Times New Roman" w:cs="Times New Roman"/>
          <w:sz w:val="22"/>
          <w:szCs w:val="22"/>
        </w:rPr>
      </w:r>
      <w:bookmarkEnd w:id="423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24" w:name="_Toc41"/>
      <w:r>
        <w:rPr>
          <w:rFonts w:ascii="Times New Roman" w:hAnsi="Times New Roman" w:eastAsia="Times New Roman" w:cs="Times New Roman"/>
          <w:sz w:val="22"/>
          <w:szCs w:val="22"/>
        </w:rPr>
        <w:t xml:space="preserve">Пояснения к Техническим требованиям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424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Технические требования к закупаемой продукции приведены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отдельном файле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предоставляются отдельным документом в составе Документации о закупке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являющимся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Приложени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№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 к Документации о закупке.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25" w:name="_Toc42"/>
      <w:r>
        <w:rPr>
          <w:rFonts w:ascii="Times New Roman" w:hAnsi="Times New Roman" w:eastAsia="Times New Roman" w:cs="Times New Roman"/>
          <w:sz w:val="22"/>
          <w:szCs w:val="22"/>
        </w:rPr>
      </w:r>
      <w:bookmarkStart w:id="246" w:name="_Ref125361746"/>
      <w:r>
        <w:rPr>
          <w:rFonts w:ascii="Times New Roman" w:hAnsi="Times New Roman" w:eastAsia="Times New Roman" w:cs="Times New Roman"/>
          <w:sz w:val="22"/>
          <w:szCs w:val="22"/>
        </w:rPr>
      </w:r>
      <w:bookmarkStart w:id="247" w:name="_Ref125363040"/>
      <w:r>
        <w:rPr>
          <w:rFonts w:ascii="Times New Roman" w:hAnsi="Times New Roman" w:eastAsia="Times New Roman" w:cs="Times New Roman"/>
          <w:sz w:val="22"/>
          <w:szCs w:val="22"/>
        </w:rPr>
      </w:r>
      <w:bookmarkStart w:id="248" w:name="_Ref125363605"/>
      <w:r>
        <w:rPr>
          <w:rFonts w:ascii="Times New Roman" w:hAnsi="Times New Roman" w:eastAsia="Times New Roman" w:cs="Times New Roman"/>
          <w:sz w:val="22"/>
          <w:szCs w:val="22"/>
        </w:rPr>
      </w:r>
      <w:bookmarkStart w:id="249" w:name="_Ref125363759"/>
      <w:r>
        <w:rPr>
          <w:rFonts w:ascii="Times New Roman" w:hAnsi="Times New Roman" w:eastAsia="Times New Roman" w:cs="Times New Roman"/>
          <w:sz w:val="22"/>
          <w:szCs w:val="22"/>
        </w:rPr>
      </w:r>
      <w:bookmarkStart w:id="250" w:name="_Ref125364081"/>
      <w:r>
        <w:rPr>
          <w:rFonts w:ascii="Times New Roman" w:hAnsi="Times New Roman" w:eastAsia="Times New Roman" w:cs="Times New Roman"/>
          <w:sz w:val="22"/>
          <w:szCs w:val="22"/>
        </w:rPr>
      </w:r>
      <w:bookmarkStart w:id="251" w:name="_Ref125364206"/>
      <w:r>
        <w:rPr>
          <w:rFonts w:ascii="Times New Roman" w:hAnsi="Times New Roman" w:eastAsia="Times New Roman" w:cs="Times New Roman"/>
          <w:sz w:val="22"/>
          <w:szCs w:val="22"/>
        </w:rPr>
      </w:r>
      <w:bookmarkStart w:id="252" w:name="_Ref125370754"/>
      <w:r>
        <w:rPr>
          <w:rFonts w:ascii="Times New Roman" w:hAnsi="Times New Roman" w:eastAsia="Times New Roman" w:cs="Times New Roman"/>
          <w:sz w:val="22"/>
          <w:szCs w:val="22"/>
        </w:rPr>
      </w:r>
      <w:bookmarkStart w:id="253" w:name="Прил02_ПроектДоговора"/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 2 – Проект договора</w:t>
      </w:r>
      <w:bookmarkEnd w:id="246"/>
      <w:r>
        <w:rPr>
          <w:rFonts w:ascii="Times New Roman" w:hAnsi="Times New Roman" w:eastAsia="Times New Roman" w:cs="Times New Roman"/>
          <w:sz w:val="22"/>
          <w:szCs w:val="22"/>
        </w:rPr>
      </w:r>
      <w:bookmarkEnd w:id="247"/>
      <w:r>
        <w:rPr>
          <w:rFonts w:ascii="Times New Roman" w:hAnsi="Times New Roman" w:eastAsia="Times New Roman" w:cs="Times New Roman"/>
          <w:sz w:val="22"/>
          <w:szCs w:val="22"/>
        </w:rPr>
      </w:r>
      <w:bookmarkEnd w:id="248"/>
      <w:r>
        <w:rPr>
          <w:rFonts w:ascii="Times New Roman" w:hAnsi="Times New Roman" w:eastAsia="Times New Roman" w:cs="Times New Roman"/>
          <w:sz w:val="22"/>
          <w:szCs w:val="22"/>
        </w:rPr>
      </w:r>
      <w:bookmarkEnd w:id="249"/>
      <w:r>
        <w:rPr>
          <w:rFonts w:ascii="Times New Roman" w:hAnsi="Times New Roman" w:eastAsia="Times New Roman" w:cs="Times New Roman"/>
          <w:sz w:val="22"/>
          <w:szCs w:val="22"/>
        </w:rPr>
      </w:r>
      <w:bookmarkEnd w:id="250"/>
      <w:r>
        <w:rPr>
          <w:rFonts w:ascii="Times New Roman" w:hAnsi="Times New Roman" w:eastAsia="Times New Roman" w:cs="Times New Roman"/>
          <w:sz w:val="22"/>
          <w:szCs w:val="22"/>
        </w:rPr>
      </w:r>
      <w:bookmarkEnd w:id="251"/>
      <w:r>
        <w:rPr>
          <w:rFonts w:ascii="Times New Roman" w:hAnsi="Times New Roman" w:eastAsia="Times New Roman" w:cs="Times New Roman"/>
          <w:sz w:val="22"/>
          <w:szCs w:val="22"/>
        </w:rPr>
      </w:r>
      <w:bookmarkEnd w:id="252"/>
      <w:r>
        <w:rPr>
          <w:rFonts w:ascii="Times New Roman" w:hAnsi="Times New Roman" w:eastAsia="Times New Roman" w:cs="Times New Roman"/>
          <w:sz w:val="22"/>
          <w:szCs w:val="22"/>
        </w:rPr>
      </w:r>
      <w:bookmarkEnd w:id="253"/>
      <w:r>
        <w:rPr>
          <w:rFonts w:ascii="Times New Roman" w:hAnsi="Times New Roman" w:eastAsia="Times New Roman" w:cs="Times New Roman"/>
          <w:sz w:val="22"/>
          <w:szCs w:val="22"/>
        </w:rPr>
      </w:r>
      <w:bookmarkEnd w:id="425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26" w:name="_Toc43"/>
      <w:r>
        <w:rPr>
          <w:rFonts w:ascii="Times New Roman" w:hAnsi="Times New Roman" w:eastAsia="Times New Roman" w:cs="Times New Roman"/>
          <w:sz w:val="22"/>
          <w:szCs w:val="22"/>
        </w:rPr>
        <w:t xml:space="preserve">Пояснения к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роекту договора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426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Проект договора, заключаемого по результатам закупки,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приведен в отдельном файле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предоставляется отдельным документом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составе Документации о закупке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являющимся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№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2 к Документации о закупке.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Все положения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роекта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оговора являются существенными условиями для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Заказчика, за исключением пунктов договора, указанных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подразделе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_Ref132876309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как «Некритичные пункты Проекта договора»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соответствии с пунктом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_Ref49437111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5.2.11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Заказчик оставляет за собой право рассмотреть и принять перед подписанием Договора предложения и дополнительные (не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носящие принципиального характера) изменения 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Договору.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сли Стороны не придут к соглашению об этих изменениях, они будут обязаны подписать Договор на условиях, изложенных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Документации о закупке.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Одновременно с подписанием Сторонами Договора или не позднее 3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(трех) рабочих дней после подписания Договора, Сторонами должно быть подписано дополнительное соглашение,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форма которого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приведена в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отдельном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файле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формате Microsoft Word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(предоставляется отдельным документом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составе Документации о закупке)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касающееся вопросов подтверждения Участником информации о цепочке собственников, включая бенефициаров (в том числе конечных)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256" w:name="_MON_1736255517"/>
      <w:r>
        <w:rPr>
          <w:rFonts w:ascii="Times New Roman" w:hAnsi="Times New Roman" w:eastAsia="Times New Roman" w:cs="Times New Roman"/>
          <w:sz w:val="22"/>
          <w:szCs w:val="22"/>
        </w:rPr>
      </w:r>
      <w:bookmarkEnd w:id="256"/>
      <w:r>
        <w:rPr>
          <w:rFonts w:ascii="Times New Roman" w:hAnsi="Times New Roman" w:eastAsia="Times New Roman" w:cs="Times New Roman"/>
          <w:sz w:val="22"/>
          <w:szCs w:val="2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19125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0">
                          <a:extLst>
                            <a:ext uri="{96DAC541-7B7A-43D3-8B79-37D633B846F1}">
                              <asvg:svgBlip xmlns:asvg="http://schemas.microsoft.com/office/drawing/2016/SVG/main" r:embed="rId21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78.75pt;height:48.75pt;mso-wrap-distance-left:0.00pt;mso-wrap-distance-top:0.00pt;mso-wrap-distance-right:0.00pt;mso-wrap-distance-bottom:0.00pt;" stroked="f">
                <v:path textboxrect="0,0,0,0"/>
                <v:imagedata r:id="rId2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rPr>
          <w:rFonts w:ascii="Times New Roman" w:hAnsi="Times New Roman" w:cs="Times New Roman"/>
          <w:sz w:val="22"/>
          <w:szCs w:val="22"/>
        </w:rPr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27" w:name="_Toc44"/>
      <w:r>
        <w:rPr>
          <w:rFonts w:ascii="Times New Roman" w:hAnsi="Times New Roman" w:eastAsia="Times New Roman" w:cs="Times New Roman"/>
          <w:sz w:val="22"/>
          <w:szCs w:val="22"/>
        </w:rPr>
      </w:r>
      <w:bookmarkStart w:id="257" w:name="_Ref125361494"/>
      <w:r>
        <w:rPr>
          <w:rFonts w:ascii="Times New Roman" w:hAnsi="Times New Roman" w:eastAsia="Times New Roman" w:cs="Times New Roman"/>
          <w:sz w:val="22"/>
          <w:szCs w:val="22"/>
        </w:rPr>
      </w:r>
      <w:bookmarkStart w:id="258" w:name="_Ref125361908"/>
      <w:r>
        <w:rPr>
          <w:rFonts w:ascii="Times New Roman" w:hAnsi="Times New Roman" w:eastAsia="Times New Roman" w:cs="Times New Roman"/>
          <w:sz w:val="22"/>
          <w:szCs w:val="22"/>
        </w:rPr>
      </w:r>
      <w:bookmarkStart w:id="259" w:name="_Ref125365476"/>
      <w:r>
        <w:rPr>
          <w:rFonts w:ascii="Times New Roman" w:hAnsi="Times New Roman" w:eastAsia="Times New Roman" w:cs="Times New Roman"/>
          <w:sz w:val="22"/>
          <w:szCs w:val="22"/>
        </w:rPr>
      </w:r>
      <w:bookmarkStart w:id="260" w:name="_Ref125370013"/>
      <w:r>
        <w:rPr>
          <w:rFonts w:ascii="Times New Roman" w:hAnsi="Times New Roman" w:eastAsia="Times New Roman" w:cs="Times New Roman"/>
          <w:sz w:val="22"/>
          <w:szCs w:val="22"/>
        </w:rPr>
      </w:r>
      <w:bookmarkStart w:id="261" w:name="Прил03_ТребованияУчастникам"/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3 – Требования к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частникам</w:t>
      </w:r>
      <w:bookmarkEnd w:id="257"/>
      <w:r>
        <w:rPr>
          <w:rFonts w:ascii="Times New Roman" w:hAnsi="Times New Roman" w:eastAsia="Times New Roman" w:cs="Times New Roman"/>
          <w:sz w:val="22"/>
          <w:szCs w:val="22"/>
        </w:rPr>
      </w:r>
      <w:bookmarkEnd w:id="258"/>
      <w:r>
        <w:rPr>
          <w:rFonts w:ascii="Times New Roman" w:hAnsi="Times New Roman" w:eastAsia="Times New Roman" w:cs="Times New Roman"/>
          <w:sz w:val="22"/>
          <w:szCs w:val="22"/>
        </w:rPr>
      </w:r>
      <w:bookmarkEnd w:id="259"/>
      <w:r>
        <w:rPr>
          <w:rFonts w:ascii="Times New Roman" w:hAnsi="Times New Roman" w:eastAsia="Times New Roman" w:cs="Times New Roman"/>
          <w:sz w:val="22"/>
          <w:szCs w:val="22"/>
        </w:rPr>
      </w:r>
      <w:bookmarkEnd w:id="260"/>
      <w:r>
        <w:rPr>
          <w:rFonts w:ascii="Times New Roman" w:hAnsi="Times New Roman" w:eastAsia="Times New Roman" w:cs="Times New Roman"/>
          <w:sz w:val="22"/>
          <w:szCs w:val="22"/>
        </w:rPr>
      </w:r>
      <w:bookmarkEnd w:id="261"/>
      <w:r>
        <w:rPr>
          <w:rFonts w:ascii="Times New Roman" w:hAnsi="Times New Roman" w:eastAsia="Times New Roman" w:cs="Times New Roman"/>
          <w:sz w:val="22"/>
          <w:szCs w:val="22"/>
        </w:rPr>
      </w:r>
      <w:bookmarkEnd w:id="427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28" w:name="_Toc45"/>
      <w:r>
        <w:rPr>
          <w:rFonts w:ascii="Times New Roman" w:hAnsi="Times New Roman" w:eastAsia="Times New Roman" w:cs="Times New Roman"/>
          <w:sz w:val="22"/>
          <w:szCs w:val="22"/>
        </w:rPr>
        <w:t xml:space="preserve">Пояснения к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требованиям к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частникам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428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264" w:name="_Hlk125628168"/>
      <w:r>
        <w:rPr>
          <w:rFonts w:ascii="Times New Roman" w:hAnsi="Times New Roman" w:eastAsia="Times New Roman" w:cs="Times New Roman"/>
          <w:sz w:val="22"/>
          <w:szCs w:val="22"/>
        </w:rPr>
        <w:t xml:space="preserve">Чтобы претендовать на победу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в закупке и получение права заключить Договор с Заказчиком, Участник самостоятельно или Коллективный участник в целом должен отвечать нижеуказанным требованиям и включить в состав заявки документы, подтверждающие его соответствие установленным требованиям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bookmarkEnd w:id="264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29" w:name="_Toc46"/>
      <w:r>
        <w:rPr>
          <w:rFonts w:ascii="Times New Roman" w:hAnsi="Times New Roman" w:eastAsia="Times New Roman" w:cs="Times New Roman"/>
          <w:sz w:val="22"/>
          <w:szCs w:val="22"/>
        </w:rPr>
      </w:r>
      <w:bookmarkStart w:id="265" w:name="_Ref125361435"/>
      <w:r>
        <w:rPr>
          <w:rFonts w:ascii="Times New Roman" w:hAnsi="Times New Roman" w:eastAsia="Times New Roman" w:cs="Times New Roman"/>
          <w:sz w:val="22"/>
          <w:szCs w:val="22"/>
        </w:rPr>
      </w:r>
      <w:bookmarkStart w:id="266" w:name="_Ref125361590"/>
      <w:r>
        <w:rPr>
          <w:rFonts w:ascii="Times New Roman" w:hAnsi="Times New Roman" w:eastAsia="Times New Roman" w:cs="Times New Roman"/>
          <w:sz w:val="22"/>
          <w:szCs w:val="22"/>
        </w:rPr>
      </w:r>
      <w:bookmarkStart w:id="267" w:name="_Ref125361617"/>
      <w:r>
        <w:rPr>
          <w:rFonts w:ascii="Times New Roman" w:hAnsi="Times New Roman" w:eastAsia="Times New Roman" w:cs="Times New Roman"/>
          <w:sz w:val="22"/>
          <w:szCs w:val="22"/>
        </w:rPr>
      </w:r>
      <w:bookmarkStart w:id="268" w:name="_Ref125361832"/>
      <w:r>
        <w:rPr>
          <w:rFonts w:ascii="Times New Roman" w:hAnsi="Times New Roman" w:eastAsia="Times New Roman" w:cs="Times New Roman"/>
          <w:sz w:val="22"/>
          <w:szCs w:val="22"/>
        </w:rPr>
      </w:r>
      <w:bookmarkStart w:id="269" w:name="_Ref125361846"/>
      <w:r>
        <w:rPr>
          <w:rFonts w:ascii="Times New Roman" w:hAnsi="Times New Roman" w:eastAsia="Times New Roman" w:cs="Times New Roman"/>
          <w:sz w:val="22"/>
          <w:szCs w:val="22"/>
        </w:rPr>
      </w:r>
      <w:bookmarkStart w:id="270" w:name="_Ref125361926"/>
      <w:r>
        <w:rPr>
          <w:rFonts w:ascii="Times New Roman" w:hAnsi="Times New Roman" w:eastAsia="Times New Roman" w:cs="Times New Roman"/>
          <w:sz w:val="22"/>
          <w:szCs w:val="22"/>
        </w:rPr>
      </w:r>
      <w:bookmarkStart w:id="271" w:name="_Ref125366879"/>
      <w:r>
        <w:rPr>
          <w:rFonts w:ascii="Times New Roman" w:hAnsi="Times New Roman" w:eastAsia="Times New Roman" w:cs="Times New Roman"/>
          <w:sz w:val="22"/>
          <w:szCs w:val="22"/>
        </w:rPr>
      </w:r>
      <w:bookmarkStart w:id="272" w:name="_Ref125368812"/>
      <w:r>
        <w:rPr>
          <w:rFonts w:ascii="Times New Roman" w:hAnsi="Times New Roman" w:eastAsia="Times New Roman" w:cs="Times New Roman"/>
          <w:sz w:val="22"/>
          <w:szCs w:val="22"/>
        </w:rPr>
      </w:r>
      <w:bookmarkStart w:id="273" w:name="_Ref125368895"/>
      <w:r>
        <w:rPr>
          <w:rFonts w:ascii="Times New Roman" w:hAnsi="Times New Roman" w:eastAsia="Times New Roman" w:cs="Times New Roman"/>
          <w:sz w:val="22"/>
          <w:szCs w:val="22"/>
        </w:rPr>
      </w:r>
      <w:bookmarkStart w:id="274" w:name="_Ref125369088"/>
      <w:r>
        <w:rPr>
          <w:rFonts w:ascii="Times New Roman" w:hAnsi="Times New Roman" w:eastAsia="Times New Roman" w:cs="Times New Roman"/>
          <w:sz w:val="22"/>
          <w:szCs w:val="22"/>
        </w:rPr>
      </w:r>
      <w:bookmarkStart w:id="275" w:name="_Ref125370058"/>
      <w:r>
        <w:rPr>
          <w:rFonts w:ascii="Times New Roman" w:hAnsi="Times New Roman" w:eastAsia="Times New Roman" w:cs="Times New Roman"/>
          <w:sz w:val="22"/>
          <w:szCs w:val="22"/>
        </w:rPr>
      </w:r>
      <w:bookmarkStart w:id="276" w:name="_Ref125370064"/>
      <w:r>
        <w:rPr>
          <w:rFonts w:ascii="Times New Roman" w:hAnsi="Times New Roman" w:eastAsia="Times New Roman" w:cs="Times New Roman"/>
          <w:sz w:val="22"/>
          <w:szCs w:val="22"/>
        </w:rPr>
      </w:r>
      <w:bookmarkStart w:id="277" w:name="_Ref125370071"/>
      <w:r>
        <w:rPr>
          <w:rFonts w:ascii="Times New Roman" w:hAnsi="Times New Roman" w:eastAsia="Times New Roman" w:cs="Times New Roman"/>
          <w:sz w:val="22"/>
          <w:szCs w:val="22"/>
        </w:rPr>
        <w:t xml:space="preserve">Обязательные требования</w:t>
      </w:r>
      <w:bookmarkEnd w:id="265"/>
      <w:r>
        <w:rPr>
          <w:rFonts w:ascii="Times New Roman" w:hAnsi="Times New Roman" w:eastAsia="Times New Roman" w:cs="Times New Roman"/>
          <w:sz w:val="22"/>
          <w:szCs w:val="22"/>
        </w:rPr>
      </w:r>
      <w:bookmarkEnd w:id="266"/>
      <w:r>
        <w:rPr>
          <w:rFonts w:ascii="Times New Roman" w:hAnsi="Times New Roman" w:eastAsia="Times New Roman" w:cs="Times New Roman"/>
          <w:sz w:val="22"/>
          <w:szCs w:val="22"/>
        </w:rPr>
      </w:r>
      <w:bookmarkEnd w:id="267"/>
      <w:r>
        <w:rPr>
          <w:rFonts w:ascii="Times New Roman" w:hAnsi="Times New Roman" w:eastAsia="Times New Roman" w:cs="Times New Roman"/>
          <w:sz w:val="22"/>
          <w:szCs w:val="22"/>
        </w:rPr>
      </w:r>
      <w:bookmarkEnd w:id="268"/>
      <w:r>
        <w:rPr>
          <w:rFonts w:ascii="Times New Roman" w:hAnsi="Times New Roman" w:eastAsia="Times New Roman" w:cs="Times New Roman"/>
          <w:sz w:val="22"/>
          <w:szCs w:val="22"/>
        </w:rPr>
      </w:r>
      <w:bookmarkEnd w:id="269"/>
      <w:r>
        <w:rPr>
          <w:rFonts w:ascii="Times New Roman" w:hAnsi="Times New Roman" w:eastAsia="Times New Roman" w:cs="Times New Roman"/>
          <w:sz w:val="22"/>
          <w:szCs w:val="22"/>
        </w:rPr>
      </w:r>
      <w:bookmarkEnd w:id="270"/>
      <w:r>
        <w:rPr>
          <w:rFonts w:ascii="Times New Roman" w:hAnsi="Times New Roman" w:eastAsia="Times New Roman" w:cs="Times New Roman"/>
          <w:sz w:val="22"/>
          <w:szCs w:val="22"/>
        </w:rPr>
      </w:r>
      <w:bookmarkEnd w:id="271"/>
      <w:r>
        <w:rPr>
          <w:rFonts w:ascii="Times New Roman" w:hAnsi="Times New Roman" w:eastAsia="Times New Roman" w:cs="Times New Roman"/>
          <w:sz w:val="22"/>
          <w:szCs w:val="22"/>
        </w:rPr>
      </w:r>
      <w:bookmarkEnd w:id="272"/>
      <w:r>
        <w:rPr>
          <w:rFonts w:ascii="Times New Roman" w:hAnsi="Times New Roman" w:eastAsia="Times New Roman" w:cs="Times New Roman"/>
          <w:sz w:val="22"/>
          <w:szCs w:val="22"/>
        </w:rPr>
      </w:r>
      <w:bookmarkEnd w:id="273"/>
      <w:r>
        <w:rPr>
          <w:rFonts w:ascii="Times New Roman" w:hAnsi="Times New Roman" w:eastAsia="Times New Roman" w:cs="Times New Roman"/>
          <w:sz w:val="22"/>
          <w:szCs w:val="22"/>
        </w:rPr>
      </w:r>
      <w:bookmarkEnd w:id="274"/>
      <w:r>
        <w:rPr>
          <w:rFonts w:ascii="Times New Roman" w:hAnsi="Times New Roman" w:eastAsia="Times New Roman" w:cs="Times New Roman"/>
          <w:sz w:val="22"/>
          <w:szCs w:val="22"/>
        </w:rPr>
      </w:r>
      <w:bookmarkEnd w:id="275"/>
      <w:r>
        <w:rPr>
          <w:rFonts w:ascii="Times New Roman" w:hAnsi="Times New Roman" w:eastAsia="Times New Roman" w:cs="Times New Roman"/>
          <w:sz w:val="22"/>
          <w:szCs w:val="22"/>
        </w:rPr>
      </w:r>
      <w:bookmarkEnd w:id="276"/>
      <w:r>
        <w:rPr>
          <w:rFonts w:ascii="Times New Roman" w:hAnsi="Times New Roman" w:eastAsia="Times New Roman" w:cs="Times New Roman"/>
          <w:sz w:val="22"/>
          <w:szCs w:val="22"/>
        </w:rPr>
      </w:r>
      <w:bookmarkEnd w:id="277"/>
      <w:r>
        <w:rPr>
          <w:rFonts w:ascii="Times New Roman" w:hAnsi="Times New Roman" w:eastAsia="Times New Roman" w:cs="Times New Roman"/>
          <w:sz w:val="22"/>
          <w:szCs w:val="22"/>
        </w:rPr>
      </w:r>
      <w:bookmarkEnd w:id="429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Style w:val="1208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7"/>
              <w:jc w:val="center"/>
              <w:keepNex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п/п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87"/>
              <w:jc w:val="center"/>
              <w:keepNex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Требования к Участник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87"/>
              <w:jc w:val="center"/>
              <w:keepNex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Требования к документам,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подтверждающим соответствие Участника установленным требованиям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3"/>
              </w:numPr>
              <w:ind w:left="28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279" w:name="_Ref125552433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279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Участник должен обладать гражданской правоспособностью в полном объеме для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заключения и исполнения Договора, 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также должен обладать статусом «аккредитован»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соответствии 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Положением об аккредитации, либо являться лицом, указанным в пункте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3.11 Положения об аккредитации: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 отношении гражданской правоспособности: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numPr>
                <w:ilvl w:val="0"/>
                <w:numId w:val="23"/>
              </w:numPr>
              <w:ind w:left="568" w:hanging="28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если заявка подписывается лицом, действующим на основании доверенности, предоставляется электронный образ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(файл в формате *.pdf)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оригинала соответствующей доверенности либо ее нотариально заверенной копии (с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указанием правомочий 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подписание заявки);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 отношении аккредитации: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numPr>
                <w:ilvl w:val="0"/>
                <w:numId w:val="23"/>
              </w:numPr>
              <w:ind w:left="568" w:hanging="28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наличи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у Участника на момент подачи заявки статуса «аккредитован» (по результатам ранее пройденной процедуры аккредитации) / статуса «аккредитация не требуется» (в соответствии 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ранее направленными сведениями для включения записи в Реестр аккредитации), и при отсутствии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 момента подачи им Заявки 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аккредитацию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изменений, оказывающих влияние 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его критериям аккредитации (на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текущий статус), 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также следующих изменений: реорганизация, изменение наименования, места нахождения, единоличного исполнительного органа и прочих сведений, указанных ранее в Заявке 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аккредитацию –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редоставление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Заявк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на аккредитацию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не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требуется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numPr>
                <w:ilvl w:val="0"/>
                <w:numId w:val="23"/>
              </w:numPr>
              <w:ind w:left="568" w:hanging="28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при наличии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у Участника на момент подачи заявки статуса «аккредитован» (по результатам ранее пройденной процедуры аккредитации) / статуса «аккредитация не требуется» (в соответствии 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ранее направленными сведениями для включения записи в Реестр аккредитации), и при наличии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момента подачи Заявки 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аккредитацию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изменений, оказывающих влияние 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его критериям аккредитации (на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текущий статус), 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также следующих изменений: реорганизация, изменение наименования, места нахождения, единоличного исполнительного органа и прочих сведений, указанных ранее в Заявке 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аккредитацию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декларация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составе Письма о подаче оферты (форма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4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 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обновленная Заявка на аккредитацию по установленной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Документации о закупке форме (</w:t>
            </w:r>
            <w:hyperlink w:tooltip="#Прил10_ФормаЗаявкиНаАккредитацию" w:anchor="Прил10_ФормаЗаявкиНаАккредитацию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</w:t>
              </w:r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 </w:t>
              </w:r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1</w:t>
              </w:r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0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numPr>
                <w:ilvl w:val="0"/>
                <w:numId w:val="23"/>
              </w:numPr>
              <w:ind w:left="568" w:hanging="28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при отсутствии у Участника на момент подачи заявки статуса «аккредитован» 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при условии, что Участник ранее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направил Заявку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аккредитацию, но на момент подачи заявки на участие в текущей закупке результаты проверки еще не известны (отсутствует соответствующая запись в Реестре аккредитации)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декларация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составе Письма о подаче оферты (форма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4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numPr>
                <w:ilvl w:val="0"/>
                <w:numId w:val="23"/>
              </w:numPr>
              <w:ind w:left="568" w:hanging="28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при отсутствии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 Участника на момент подачи заявки статуса «аккредитован» (не проходил ранее процедуру аккредитации) или наличия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 Участника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статуса «не аккредитован» (по результатам ранее пройденной процедуры аккредитации), а также для лиц, указанных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пункте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3.11 Положения об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аккредитации (аккредитация не требуется), но которые ранее не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направляли соответствующие сведения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для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включения записи в Реестр аккредитации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Заявка 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аккредитацию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установленной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Документации о закупке форме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</w:t>
            </w:r>
            <w:hyperlink w:tooltip="#Прил10_ФормаЗаявкиНаАккредитацию" w:anchor="Прил10_ФормаЗаявкиНаАккредитацию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10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 случае заинтересованности Участника в дополнительной оценке его финансового состояния, при условии отсутствия опубликованной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государственном информационном ресурсе бухгалтерской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(финансовой) отчетности организаций (https://bo.nalog.ru), к Заявке 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аккредитацию также прилагается электронная копия бухгалтерского баланса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ОКУД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0710001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и отчета о финансовых результатах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ОКУД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0710002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за последний завершенный финансовый год, 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отметкой налогового органа о приеме или 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приложением квитанции о приеме 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(или) извещения о вводе сведений налоговым органом. Указанные документы не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являются обязательными 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подаче в рамках процедуры аккредитации и предоставляются по желанию Участника.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3"/>
              </w:numPr>
              <w:ind w:left="28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280" w:name="_Ref132893662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280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Участник должен являться субъектом МСП, или физическим лицом, не являющимся индивидуальным предпринимателем и применяющим специальный налоговый режим «Налог на профессиональный доход»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Декларация о соответствии Участника данному требованию в составе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составе Письма о подаче оферты (форма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4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В рамках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рассмотрения заявок Организатор проверяет наличие информации об Участнике в Реестре МСП, а в отношении физических лиц, не являющихся индивидуальными предпринимателями и применяющих специальный налоговый режим «Налог на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профессиональный доход», наличие информации на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официальном сайте федерального органа исполнительной власти, уполномоченного по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контролю и надзору в области налогов и сборов, о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применении ими такого налогового режима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3"/>
              </w:numPr>
              <w:ind w:left="28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281" w:name="_Ref139029906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281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Сведения об Участнике должны отсутствовать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перечне юридических лиц,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отношении которых применяются специальные экономические меры, утвержденном Постановлением Правительства Российской Федерации от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11.05.2022 №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851</w:t>
            </w:r>
            <w:r>
              <w:rPr>
                <w:rStyle w:val="1195"/>
                <w:rFonts w:ascii="Times New Roman" w:hAnsi="Times New Roman" w:eastAsia="Times New Roman" w:cs="Times New Roman"/>
                <w:sz w:val="22"/>
                <w:szCs w:val="22"/>
              </w:rPr>
              <w:footnoteReference w:id="13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а также Участник не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должен являться подконтрольной организацией данных юридических лиц</w:t>
            </w:r>
            <w:r>
              <w:rPr>
                <w:rStyle w:val="1195"/>
                <w:rFonts w:ascii="Times New Roman" w:hAnsi="Times New Roman" w:eastAsia="Times New Roman" w:cs="Times New Roman"/>
                <w:sz w:val="22"/>
                <w:szCs w:val="22"/>
              </w:rPr>
              <w:footnoteReference w:id="14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Предоставление документов не требуется.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(В рамках рассмотрения заявок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(или) перед заключением договора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Организатор проверяет наличие информации об Участнике в перечне юридических лиц, в отношении которых применяются специальные экономические меры, утвержденном Постановлением Правительства Российской Федерации от 11.05.2022 №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851 «О мерах по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реализации Указа Президента Российской Федерации от 3 мая 2022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г. N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252».)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3"/>
              </w:numPr>
              <w:ind w:left="28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282" w:name="_Ref186181914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282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Если в подразделе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_Ref125359973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1.2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установлен режим запрета закупки иностранной продукции и предметом закупки является оказание услуг 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(или) выполнение работ (в том числе с поставкой товаров при выполнении закупаемых работ 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(или) оказании закупаемых услуг), то Участник должен быть российским лицом: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Декларация о соответствии Участника данному требованию в составе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Письма о подаче оферты (форма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4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(В рамках рассмотрения заявок Организатор на основании результатов аккредитации проверяет на соответствие данному требованию.)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3"/>
              </w:numPr>
              <w:ind w:left="28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283" w:name="_Ref186181918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283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Если в подразделе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_Ref125359973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1.2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установлен режим ограничения закупки иностранной продукции или режим преимущества российской продукции и предметом закупки является оказание услуг 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(или) выполнение работ (в том числе 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поставкой товаров при выполнении закупаемых работ 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(или) оказании закупаемых услуг), то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Участник должен указать свою принадлежность – Участник является иностранным лицом или российским лицом: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Декларация о принадлежности Участника к иностранному лицу или российскому лицу в составе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Письма о подаче оферты (форма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4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(В рамках рассмотрения заявок Организатор на основании результатов аккредитации проверяет на соответствие данному требованию.)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</w:p>
        </w:tc>
      </w:tr>
    </w:tbl>
    <w:p>
      <w:pPr>
        <w:pStyle w:val="1182"/>
        <w:spacing w:after="120"/>
        <w:rPr>
          <w:rFonts w:ascii="Times New Roman" w:hAnsi="Times New Roman" w:cs="Times New Roman"/>
          <w:sz w:val="22"/>
          <w:szCs w:val="22"/>
          <w:highlight w:val="yellow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Start w:id="430" w:name="_Toc47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Start w:id="284" w:name="_Ref125361442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Start w:id="285" w:name="_Ref125361633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Start w:id="286" w:name="_Ref125361671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Start w:id="287" w:name="_Ref125361869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Start w:id="288" w:name="_Ref125361937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Start w:id="289" w:name="_Ref125365459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Start w:id="290" w:name="_Ref125367521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Start w:id="291" w:name="_Ref125367539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Start w:id="292" w:name="_Ref125368818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Start w:id="293" w:name="_Ref125368901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Start w:id="294" w:name="_Ref125368916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Start w:id="295" w:name="_Ref125369099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Start w:id="296" w:name="_Ref125370079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Start w:id="297" w:name="_Ref125709153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Start w:id="298" w:name="_Ref125709250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Start w:id="299" w:name="_Ref125709401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Start w:id="300" w:name="_Ref125709888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  <w:t xml:space="preserve">Специальные требования</w:t>
      </w:r>
      <w:bookmarkEnd w:id="284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End w:id="285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End w:id="286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End w:id="287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End w:id="288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End w:id="289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End w:id="290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End w:id="291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End w:id="292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End w:id="293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End w:id="294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End w:id="295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End w:id="296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End w:id="297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End w:id="298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End w:id="299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End w:id="300"/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bookmarkEnd w:id="430"/>
      <w:r>
        <w:rPr>
          <w:rFonts w:ascii="Times New Roman" w:hAnsi="Times New Roman" w:cs="Times New Roman"/>
          <w:sz w:val="22"/>
          <w:szCs w:val="22"/>
          <w:highlight w:val="yellow"/>
        </w:rPr>
      </w:r>
      <w:r>
        <w:rPr>
          <w:rFonts w:ascii="Times New Roman" w:hAnsi="Times New Roman" w:cs="Times New Roman"/>
          <w:sz w:val="22"/>
          <w:szCs w:val="22"/>
          <w:highlight w:val="yellow"/>
        </w:rPr>
      </w:r>
    </w:p>
    <w:tbl>
      <w:tblPr>
        <w:tblStyle w:val="1208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7"/>
              <w:jc w:val="center"/>
              <w:keepNex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п/п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87"/>
              <w:jc w:val="center"/>
              <w:keepNex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Требования к Участник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87"/>
              <w:jc w:val="center"/>
              <w:keepNex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Требования к документам,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подтверждающим соответствие Участника установленным требованиям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4"/>
              </w:numPr>
              <w:ind w:left="28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В соответствии со ст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. 55.8 Градостроительного кодекса РФ от 29.12.2004 № 190-ФЗ: Участник закупки должен быть (в течение срока действия заявки на участие в закупке) членом саморегулируемой организации, основанной на членстве лиц, осуществляющих строительство*, и зарегистриров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анной на территории субъекта Российской Федерации, в котором зарегистрирован Участник (с учетом исключений, предусмотренных законодательством), и иметь право выполнять работы в отношении объектов капитального строительства (кроме особо опасных, технически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сложных и уникальных объектов, объектов использования атомной энергии).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iCs/>
              </w:rPr>
            </w:r>
          </w:p>
          <w:p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При этом: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</w:rPr>
            </w:r>
          </w:p>
          <w:p>
            <w:pPr>
              <w:pStyle w:val="1221"/>
              <w:numPr>
                <w:ilvl w:val="0"/>
                <w:numId w:val="43"/>
              </w:numPr>
              <w:ind w:left="0" w:firstLine="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уровень ответственности Участника по компенсационному фонду возмещения вреда должен соответствовать (быть не менее) предложенной в заявке стоимости (с учетом НДС) выполнения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работ (строительство, реконструкция, капитальный ремонт объектов капитального строительства);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</w:rPr>
            </w:r>
          </w:p>
          <w:p>
            <w:pPr>
              <w:pStyle w:val="1221"/>
              <w:numPr>
                <w:ilvl w:val="0"/>
                <w:numId w:val="43"/>
              </w:numPr>
              <w:ind w:left="0" w:firstLine="0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уровень ответственности Участника по компенсационному фонду обеспечения договорных обязательств должен соответствовать (быть не менее) предложенной в заявке стоим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ости (с учетом НДС) выполнения работ (строительство, реконструкция, капитальный ремонт объектов капитального строительства), а также (в случае их наличия в Технических требованиях) поставки оборудования и материально-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технических ресурсов.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  <w:p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*Не требуется чле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нство в СРО в области строительства Участникам закупки: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</w:rPr>
            </w:r>
          </w:p>
          <w:p>
            <w:pPr>
              <w:pStyle w:val="1221"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i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перечисленным в ч. 2.2 ст. 52 ГрК РФ;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bCs/>
                <w:i/>
                <w:highlight w:val="white"/>
              </w:rPr>
            </w:r>
          </w:p>
          <w:p>
            <w:pPr>
              <w:pStyle w:val="1221"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i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предложивших цену договора, не превышающую 10 млн. руб. в соответствии с ч. 2.1 ст. 52 ГрК РФ.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bCs/>
                <w:i/>
                <w:highlight w:val="white"/>
              </w:rPr>
            </w:r>
          </w:p>
        </w:tc>
        <w:tc>
          <w:tcPr>
            <w:tcW w:w="832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Предоставление документов не требуется.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/>
                <w:highlight w:val="white"/>
              </w:rPr>
            </w:r>
          </w:p>
          <w:p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(На стадии рассмотрения зая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вок Организатор проверяет наличие информации об Участнике в Едином реестре сведений о членах СРО и их обязательствах, а также осуществляет оценку соответствия уровня его ответственности по общедоступному ресурсу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  <w:p>
            <w:pPr>
              <w:jc w:val="both"/>
              <w:rPr>
                <w:rFonts w:ascii="Times New Roman" w:hAnsi="Times New Roman" w:cs="Times New Roman"/>
                <w:i/>
                <w:iCs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– Национальное объединение строителей НОСТР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ОЙ - сервис «Единый реестр членов СРО»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  <w:highlight w:val="white"/>
              </w:rPr>
              <w:t xml:space="preserve"> (</w:t>
            </w:r>
            <w:hyperlink w:history="1">
              <w:r>
                <w:rPr>
                  <w:rStyle w:val="1197"/>
                  <w:rFonts w:ascii="Times New Roman" w:hAnsi="Times New Roman" w:eastAsia="Times New Roman" w:cs="Times New Roman"/>
                  <w:i/>
                  <w:iCs/>
                  <w:sz w:val="22"/>
                  <w:szCs w:val="22"/>
                  <w:highlight w:val="white"/>
                </w:rPr>
                <w:t xml:space="preserve">https://reestr.nostroy.ru/sro/all/member/list</w:t>
              </w:r>
            </w:hyperlink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  <w:highlight w:val="white"/>
              </w:rPr>
              <w:t xml:space="preserve">).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/>
                <w:iCs/>
                <w:highlight w:val="white"/>
              </w:rPr>
            </w:r>
          </w:p>
          <w:p>
            <w:pPr>
              <w:ind w:left="0" w:right="0" w:firstLine="283"/>
              <w:jc w:val="both"/>
              <w:keepNext/>
              <w:spacing w:before="60" w:after="60"/>
              <w:shd w:val="clear" w:color="ffffff" w:themeColor="background1" w:fill="ffffff" w:themeFill="background1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</w:r>
          </w:p>
        </w:tc>
      </w:tr>
    </w:tbl>
    <w:p>
      <w:pPr>
        <w:pStyle w:val="1182"/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31" w:name="_Toc48"/>
      <w:r>
        <w:rPr>
          <w:rFonts w:ascii="Times New Roman" w:hAnsi="Times New Roman" w:eastAsia="Times New Roman" w:cs="Times New Roman"/>
          <w:sz w:val="22"/>
          <w:szCs w:val="22"/>
        </w:rPr>
      </w:r>
      <w:bookmarkStart w:id="302" w:name="_Ref125361531"/>
      <w:r>
        <w:rPr>
          <w:rFonts w:ascii="Times New Roman" w:hAnsi="Times New Roman" w:eastAsia="Times New Roman" w:cs="Times New Roman"/>
          <w:sz w:val="22"/>
          <w:szCs w:val="22"/>
        </w:rPr>
      </w:r>
      <w:bookmarkStart w:id="303" w:name="_Ref125369111"/>
      <w:r>
        <w:rPr>
          <w:rFonts w:ascii="Times New Roman" w:hAnsi="Times New Roman" w:eastAsia="Times New Roman" w:cs="Times New Roman"/>
          <w:sz w:val="22"/>
          <w:szCs w:val="22"/>
        </w:rPr>
      </w:r>
      <w:bookmarkStart w:id="304" w:name="_Ref125370085"/>
      <w:r>
        <w:rPr>
          <w:rFonts w:ascii="Times New Roman" w:hAnsi="Times New Roman" w:eastAsia="Times New Roman" w:cs="Times New Roman"/>
          <w:sz w:val="22"/>
          <w:szCs w:val="22"/>
        </w:rPr>
      </w:r>
      <w:bookmarkStart w:id="305" w:name="_Ref125370145"/>
      <w:r>
        <w:rPr>
          <w:rFonts w:ascii="Times New Roman" w:hAnsi="Times New Roman" w:eastAsia="Times New Roman" w:cs="Times New Roman"/>
          <w:sz w:val="22"/>
          <w:szCs w:val="22"/>
        </w:rPr>
      </w:r>
      <w:bookmarkStart w:id="306" w:name="_Ref125370151"/>
      <w:r>
        <w:rPr>
          <w:rFonts w:ascii="Times New Roman" w:hAnsi="Times New Roman" w:eastAsia="Times New Roman" w:cs="Times New Roman"/>
          <w:sz w:val="22"/>
          <w:szCs w:val="22"/>
        </w:rPr>
      </w:r>
      <w:bookmarkStart w:id="307" w:name="_Ref125552455"/>
      <w:r>
        <w:rPr>
          <w:rFonts w:ascii="Times New Roman" w:hAnsi="Times New Roman" w:eastAsia="Times New Roman" w:cs="Times New Roman"/>
          <w:sz w:val="22"/>
          <w:szCs w:val="22"/>
        </w:rPr>
      </w:r>
      <w:bookmarkStart w:id="308" w:name="_Ref125553500"/>
      <w:r>
        <w:rPr>
          <w:rFonts w:ascii="Times New Roman" w:hAnsi="Times New Roman" w:eastAsia="Times New Roman" w:cs="Times New Roman"/>
          <w:sz w:val="22"/>
          <w:szCs w:val="22"/>
        </w:rPr>
      </w:r>
      <w:bookmarkStart w:id="309" w:name="_Ref125553692"/>
      <w:r>
        <w:rPr>
          <w:rFonts w:ascii="Times New Roman" w:hAnsi="Times New Roman" w:eastAsia="Times New Roman" w:cs="Times New Roman"/>
          <w:sz w:val="22"/>
          <w:szCs w:val="22"/>
        </w:rPr>
      </w:r>
      <w:bookmarkStart w:id="310" w:name="_Ref125553703"/>
      <w:r>
        <w:rPr>
          <w:rFonts w:ascii="Times New Roman" w:hAnsi="Times New Roman" w:eastAsia="Times New Roman" w:cs="Times New Roman"/>
          <w:sz w:val="22"/>
          <w:szCs w:val="22"/>
        </w:rPr>
      </w:r>
      <w:bookmarkStart w:id="311" w:name="_Ref125709228"/>
      <w:r>
        <w:rPr>
          <w:rFonts w:ascii="Times New Roman" w:hAnsi="Times New Roman" w:eastAsia="Times New Roman" w:cs="Times New Roman"/>
          <w:sz w:val="22"/>
          <w:szCs w:val="22"/>
        </w:rPr>
        <w:t xml:space="preserve">Дополнительные 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ребования к Коллективным участникам</w:t>
      </w:r>
      <w:bookmarkEnd w:id="302"/>
      <w:r>
        <w:rPr>
          <w:rFonts w:ascii="Times New Roman" w:hAnsi="Times New Roman" w:eastAsia="Times New Roman" w:cs="Times New Roman"/>
          <w:sz w:val="22"/>
          <w:szCs w:val="22"/>
        </w:rPr>
      </w:r>
      <w:bookmarkEnd w:id="303"/>
      <w:r>
        <w:rPr>
          <w:rFonts w:ascii="Times New Roman" w:hAnsi="Times New Roman" w:eastAsia="Times New Roman" w:cs="Times New Roman"/>
          <w:sz w:val="22"/>
          <w:szCs w:val="22"/>
        </w:rPr>
      </w:r>
      <w:bookmarkEnd w:id="304"/>
      <w:r>
        <w:rPr>
          <w:rFonts w:ascii="Times New Roman" w:hAnsi="Times New Roman" w:eastAsia="Times New Roman" w:cs="Times New Roman"/>
          <w:sz w:val="22"/>
          <w:szCs w:val="22"/>
        </w:rPr>
      </w:r>
      <w:bookmarkEnd w:id="305"/>
      <w:r>
        <w:rPr>
          <w:rFonts w:ascii="Times New Roman" w:hAnsi="Times New Roman" w:eastAsia="Times New Roman" w:cs="Times New Roman"/>
          <w:sz w:val="22"/>
          <w:szCs w:val="22"/>
        </w:rPr>
      </w:r>
      <w:bookmarkEnd w:id="306"/>
      <w:r>
        <w:rPr>
          <w:rFonts w:ascii="Times New Roman" w:hAnsi="Times New Roman" w:eastAsia="Times New Roman" w:cs="Times New Roman"/>
          <w:sz w:val="22"/>
          <w:szCs w:val="22"/>
        </w:rPr>
      </w:r>
      <w:bookmarkEnd w:id="307"/>
      <w:r>
        <w:rPr>
          <w:rFonts w:ascii="Times New Roman" w:hAnsi="Times New Roman" w:eastAsia="Times New Roman" w:cs="Times New Roman"/>
          <w:sz w:val="22"/>
          <w:szCs w:val="22"/>
        </w:rPr>
      </w:r>
      <w:bookmarkEnd w:id="308"/>
      <w:r>
        <w:rPr>
          <w:rFonts w:ascii="Times New Roman" w:hAnsi="Times New Roman" w:eastAsia="Times New Roman" w:cs="Times New Roman"/>
          <w:sz w:val="22"/>
          <w:szCs w:val="22"/>
        </w:rPr>
      </w:r>
      <w:bookmarkEnd w:id="309"/>
      <w:r>
        <w:rPr>
          <w:rFonts w:ascii="Times New Roman" w:hAnsi="Times New Roman" w:eastAsia="Times New Roman" w:cs="Times New Roman"/>
          <w:sz w:val="22"/>
          <w:szCs w:val="22"/>
        </w:rPr>
      </w:r>
      <w:bookmarkEnd w:id="310"/>
      <w:r>
        <w:rPr>
          <w:rFonts w:ascii="Times New Roman" w:hAnsi="Times New Roman" w:eastAsia="Times New Roman" w:cs="Times New Roman"/>
          <w:sz w:val="22"/>
          <w:szCs w:val="22"/>
        </w:rPr>
      </w:r>
      <w:bookmarkEnd w:id="311"/>
      <w:r>
        <w:rPr>
          <w:rFonts w:ascii="Times New Roman" w:hAnsi="Times New Roman" w:eastAsia="Times New Roman" w:cs="Times New Roman"/>
          <w:sz w:val="22"/>
          <w:szCs w:val="22"/>
        </w:rPr>
      </w:r>
      <w:bookmarkEnd w:id="431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Style w:val="1208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7"/>
              <w:jc w:val="center"/>
              <w:keepNex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п/п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87"/>
              <w:jc w:val="center"/>
              <w:keepNex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Требования к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Коллективн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ому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у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частник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87"/>
              <w:jc w:val="center"/>
              <w:keepNex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Требования к документам,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подтверждающим соответствие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Коллективного участника установленным требованиям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5"/>
              </w:numPr>
              <w:ind w:left="28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313" w:name="_Ref125553738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313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Заявка Коллективного участника дополнительно должна включать сведения 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распределении объемов поставки продукции между членами Коллективного участника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Техническо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предложени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(форма 4) (</w:t>
            </w:r>
            <w:hyperlink w:tooltip="#Прил04_ФормыЗаявки" w:anchor="Прил04_Формы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4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содержащие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План распределения объемов поставки продукции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5"/>
              </w:numPr>
              <w:ind w:left="28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314" w:name="_Ref125370162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314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каждого члена Коллективного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участника установленным требованиям 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учетом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пункт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_Ref125368791 \w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3.2.5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_Ref135034010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3.2.7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 том числе с учетом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объема поставки продукции, который ему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предполагается поручить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соответствии 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Планом распределения объемов поставки продукции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представленным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внутри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Технических требованиях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(форма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</w:t>
            </w:r>
            <w:hyperlink w:tooltip="#Прил04_ФормыЗаявки" w:anchor="Прил04_Формы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4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Сведения и документы, аналогичные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установленным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подразделах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_Ref125361435 \w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8.2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–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_Ref125361442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8.3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отношении каждого члена Коллективного участника, подтверждающие его соответствие данным требованиям.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1182"/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32" w:name="_Toc49"/>
      <w:r>
        <w:rPr>
          <w:rFonts w:ascii="Times New Roman" w:hAnsi="Times New Roman" w:eastAsia="Times New Roman" w:cs="Times New Roman"/>
          <w:sz w:val="22"/>
          <w:szCs w:val="22"/>
        </w:rPr>
      </w:r>
      <w:bookmarkStart w:id="315" w:name="_Ref125361823"/>
      <w:r>
        <w:rPr>
          <w:rFonts w:ascii="Times New Roman" w:hAnsi="Times New Roman" w:eastAsia="Times New Roman" w:cs="Times New Roman"/>
          <w:sz w:val="22"/>
          <w:szCs w:val="22"/>
        </w:rPr>
      </w:r>
      <w:bookmarkStart w:id="316" w:name="_Ref125362031"/>
      <w:r>
        <w:rPr>
          <w:rFonts w:ascii="Times New Roman" w:hAnsi="Times New Roman" w:eastAsia="Times New Roman" w:cs="Times New Roman"/>
          <w:sz w:val="22"/>
          <w:szCs w:val="22"/>
        </w:rPr>
      </w:r>
      <w:bookmarkStart w:id="317" w:name="_Ref125369117"/>
      <w:r>
        <w:rPr>
          <w:rFonts w:ascii="Times New Roman" w:hAnsi="Times New Roman" w:eastAsia="Times New Roman" w:cs="Times New Roman"/>
          <w:sz w:val="22"/>
          <w:szCs w:val="22"/>
        </w:rPr>
      </w:r>
      <w:bookmarkStart w:id="318" w:name="_Ref125370173"/>
      <w:r>
        <w:rPr>
          <w:rFonts w:ascii="Times New Roman" w:hAnsi="Times New Roman" w:eastAsia="Times New Roman" w:cs="Times New Roman"/>
          <w:sz w:val="22"/>
          <w:szCs w:val="22"/>
        </w:rPr>
      </w:r>
      <w:bookmarkStart w:id="319" w:name="_Ref125370180"/>
      <w:r>
        <w:rPr>
          <w:rFonts w:ascii="Times New Roman" w:hAnsi="Times New Roman" w:eastAsia="Times New Roman" w:cs="Times New Roman"/>
          <w:sz w:val="22"/>
          <w:szCs w:val="22"/>
        </w:rPr>
      </w:r>
      <w:bookmarkStart w:id="320" w:name="_Ref125370209"/>
      <w:r>
        <w:rPr>
          <w:rFonts w:ascii="Times New Roman" w:hAnsi="Times New Roman" w:eastAsia="Times New Roman" w:cs="Times New Roman"/>
          <w:sz w:val="22"/>
          <w:szCs w:val="22"/>
        </w:rPr>
      </w:r>
      <w:bookmarkStart w:id="321" w:name="_Ref125709777"/>
      <w:r>
        <w:rPr>
          <w:rFonts w:ascii="Times New Roman" w:hAnsi="Times New Roman" w:eastAsia="Times New Roman" w:cs="Times New Roman"/>
          <w:sz w:val="22"/>
          <w:szCs w:val="22"/>
        </w:rPr>
      </w:r>
      <w:bookmarkStart w:id="322" w:name="_Ref125709973"/>
      <w:r>
        <w:rPr>
          <w:rFonts w:ascii="Times New Roman" w:hAnsi="Times New Roman" w:eastAsia="Times New Roman" w:cs="Times New Roman"/>
          <w:sz w:val="22"/>
          <w:szCs w:val="22"/>
        </w:rPr>
        <w:t xml:space="preserve">Дополнительные 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ребования к Генеральным подрядчикам</w:t>
      </w:r>
      <w:bookmarkEnd w:id="315"/>
      <w:r>
        <w:rPr>
          <w:rFonts w:ascii="Times New Roman" w:hAnsi="Times New Roman" w:eastAsia="Times New Roman" w:cs="Times New Roman"/>
          <w:sz w:val="22"/>
          <w:szCs w:val="22"/>
        </w:rPr>
      </w:r>
      <w:bookmarkEnd w:id="316"/>
      <w:r>
        <w:rPr>
          <w:rFonts w:ascii="Times New Roman" w:hAnsi="Times New Roman" w:eastAsia="Times New Roman" w:cs="Times New Roman"/>
          <w:sz w:val="22"/>
          <w:szCs w:val="22"/>
        </w:rPr>
      </w:r>
      <w:bookmarkEnd w:id="317"/>
      <w:r>
        <w:rPr>
          <w:rFonts w:ascii="Times New Roman" w:hAnsi="Times New Roman" w:eastAsia="Times New Roman" w:cs="Times New Roman"/>
          <w:sz w:val="22"/>
          <w:szCs w:val="22"/>
        </w:rPr>
      </w:r>
      <w:bookmarkEnd w:id="318"/>
      <w:r>
        <w:rPr>
          <w:rFonts w:ascii="Times New Roman" w:hAnsi="Times New Roman" w:eastAsia="Times New Roman" w:cs="Times New Roman"/>
          <w:sz w:val="22"/>
          <w:szCs w:val="22"/>
        </w:rPr>
      </w:r>
      <w:bookmarkEnd w:id="319"/>
      <w:r>
        <w:rPr>
          <w:rFonts w:ascii="Times New Roman" w:hAnsi="Times New Roman" w:eastAsia="Times New Roman" w:cs="Times New Roman"/>
          <w:sz w:val="22"/>
          <w:szCs w:val="22"/>
        </w:rPr>
      </w:r>
      <w:bookmarkEnd w:id="320"/>
      <w:r>
        <w:rPr>
          <w:rFonts w:ascii="Times New Roman" w:hAnsi="Times New Roman" w:eastAsia="Times New Roman" w:cs="Times New Roman"/>
          <w:sz w:val="22"/>
          <w:szCs w:val="22"/>
        </w:rPr>
      </w:r>
      <w:bookmarkEnd w:id="321"/>
      <w:r>
        <w:rPr>
          <w:rFonts w:ascii="Times New Roman" w:hAnsi="Times New Roman" w:eastAsia="Times New Roman" w:cs="Times New Roman"/>
          <w:sz w:val="22"/>
          <w:szCs w:val="22"/>
        </w:rPr>
      </w:r>
      <w:bookmarkEnd w:id="322"/>
      <w:r>
        <w:rPr>
          <w:rFonts w:ascii="Times New Roman" w:hAnsi="Times New Roman" w:eastAsia="Times New Roman" w:cs="Times New Roman"/>
          <w:sz w:val="22"/>
          <w:szCs w:val="22"/>
        </w:rPr>
      </w:r>
      <w:bookmarkEnd w:id="432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Style w:val="1208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7"/>
              <w:jc w:val="center"/>
              <w:keepNex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п/п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87"/>
              <w:jc w:val="center"/>
              <w:keepNex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Требования к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Генеральн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ому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подрядчику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87"/>
              <w:jc w:val="center"/>
              <w:keepNex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Требования к документам, подтверждающим соответствие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Генерального подрядчика установленным требованиям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6"/>
              </w:numPr>
              <w:ind w:left="28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324" w:name="_Ref125370187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324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Заявка Генерального подрядчика дополнительно должна включать сведения 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распределении объемов поставки продукции между Генеральным подрядчиком и субподрядчиками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Техническо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предложени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(форма 4) (</w:t>
            </w:r>
            <w:hyperlink w:tooltip="#Прил04_ФормыЗаявки" w:anchor="Прил04_Формы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4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содержащие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План распределения объемов поставки продукции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6"/>
              </w:numPr>
              <w:ind w:left="28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325" w:name="_Ref125370193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325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каждого субподрядчика установленным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требованиям 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 учетом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пункт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_Ref125368863 \w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3.3.4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 том числе с учетом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объема поставки продукции, который ему предполагается поручить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соответствии с Планом распределения объемов поставки продукции, представленным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нутри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4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Сведения и документы, аналогичные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установленным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подразделах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_Ref125361435 \w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8.2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–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_Ref125361442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8.3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отношении каждого субподрядчика, подтверждающие его соответствие данным требованиям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6"/>
              </w:numPr>
              <w:ind w:left="28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326" w:name="_Ref125553847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326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Дополнительные 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ребования не установлены.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Дополнительные 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ребования не установлены.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118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rPr>
          <w:rFonts w:ascii="Times New Roman" w:hAnsi="Times New Roman" w:cs="Times New Roman"/>
          <w:sz w:val="22"/>
          <w:szCs w:val="22"/>
        </w:rPr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33" w:name="_Toc50"/>
      <w:r>
        <w:rPr>
          <w:rFonts w:ascii="Times New Roman" w:hAnsi="Times New Roman" w:eastAsia="Times New Roman" w:cs="Times New Roman"/>
          <w:sz w:val="22"/>
          <w:szCs w:val="22"/>
        </w:rPr>
      </w:r>
      <w:bookmarkStart w:id="327" w:name="Прил04_ФормыЗаявки"/>
      <w:r>
        <w:rPr>
          <w:rFonts w:ascii="Times New Roman" w:hAnsi="Times New Roman" w:eastAsia="Times New Roman" w:cs="Times New Roman"/>
          <w:sz w:val="22"/>
          <w:szCs w:val="22"/>
        </w:rPr>
      </w:r>
      <w:bookmarkStart w:id="328" w:name="_Ref125362865"/>
      <w:r>
        <w:rPr>
          <w:rFonts w:ascii="Times New Roman" w:hAnsi="Times New Roman" w:eastAsia="Times New Roman" w:cs="Times New Roman"/>
          <w:sz w:val="22"/>
          <w:szCs w:val="22"/>
        </w:rPr>
      </w:r>
      <w:bookmarkStart w:id="329" w:name="_Ref125362900"/>
      <w:r>
        <w:rPr>
          <w:rFonts w:ascii="Times New Roman" w:hAnsi="Times New Roman" w:eastAsia="Times New Roman" w:cs="Times New Roman"/>
          <w:sz w:val="22"/>
          <w:szCs w:val="22"/>
        </w:rPr>
      </w:r>
      <w:bookmarkEnd w:id="327"/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Образцы форм документов, включаемых в состав заявки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433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34" w:name="_Toc51"/>
      <w:r>
        <w:rPr>
          <w:rFonts w:ascii="Times New Roman" w:hAnsi="Times New Roman" w:eastAsia="Times New Roman" w:cs="Times New Roman"/>
          <w:sz w:val="22"/>
          <w:szCs w:val="22"/>
        </w:rPr>
        <w:t xml:space="preserve">Пояснения к Образца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форм документов, включаемых в состав заявки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434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Образцы форм документов, включаемых в состав заявки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(с инструкциями по их оформлению)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приведены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отдельном файле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предоставляются отдельным документом в составе Документации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являющимся Приложением №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к Документации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закупке.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35" w:name="_Toc52"/>
      <w:r>
        <w:rPr>
          <w:rFonts w:ascii="Times New Roman" w:hAnsi="Times New Roman" w:eastAsia="Times New Roman" w:cs="Times New Roman"/>
          <w:sz w:val="22"/>
          <w:szCs w:val="22"/>
        </w:rPr>
      </w:r>
      <w:bookmarkStart w:id="332" w:name="Прил05_ФормыПобедителя"/>
      <w:r>
        <w:rPr>
          <w:rFonts w:ascii="Times New Roman" w:hAnsi="Times New Roman" w:eastAsia="Times New Roman" w:cs="Times New Roman"/>
          <w:sz w:val="22"/>
          <w:szCs w:val="22"/>
        </w:rPr>
      </w:r>
      <w:bookmarkEnd w:id="332"/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 5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–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Образцы форм документов, предоставляемых Победителем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435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36" w:name="_Toc53"/>
      <w:r>
        <w:rPr>
          <w:rFonts w:ascii="Times New Roman" w:hAnsi="Times New Roman" w:eastAsia="Times New Roman" w:cs="Times New Roman"/>
          <w:sz w:val="22"/>
          <w:szCs w:val="22"/>
        </w:rPr>
        <w:t xml:space="preserve">Пояснения к Образцам форм документов, предоставляемых Победителем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436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Образцы форм документов, предоставляемых Победителем (или Единственным участником, в случае признания закупки несостоявшейся и принятия решения о заключении договора с ее Единственным участником), 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также дополнительные пояснения по их предоставлению и инструкции по их оформлению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приведены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подразделах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_Ref130395470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10.2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_Ref130395475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10.3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37" w:name="_Toc54"/>
      <w:r>
        <w:rPr>
          <w:rFonts w:ascii="Times New Roman" w:hAnsi="Times New Roman" w:eastAsia="Times New Roman" w:cs="Times New Roman"/>
          <w:sz w:val="22"/>
          <w:szCs w:val="22"/>
        </w:rPr>
      </w:r>
      <w:bookmarkStart w:id="335" w:name="_Ref130395470"/>
      <w:r>
        <w:rPr>
          <w:rFonts w:ascii="Times New Roman" w:hAnsi="Times New Roman" w:eastAsia="Times New Roman" w:cs="Times New Roman"/>
          <w:sz w:val="22"/>
          <w:szCs w:val="22"/>
        </w:rPr>
        <w:t xml:space="preserve">Форма справки «Сведения о цепочке собственников, включая бенефициаров (в том числе конечных)»</w:t>
      </w:r>
      <w:bookmarkEnd w:id="335"/>
      <w:r>
        <w:rPr>
          <w:rFonts w:ascii="Times New Roman" w:hAnsi="Times New Roman" w:eastAsia="Times New Roman" w:cs="Times New Roman"/>
          <w:sz w:val="22"/>
          <w:szCs w:val="22"/>
        </w:rPr>
      </w:r>
      <w:bookmarkEnd w:id="437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Справка «Сведения о цепочке собственников, включая бенефициаров (в том числе конечных)» предоставляется Победителем закупки (поставщиком).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Форма справки «Сведения о цепочке собственников, включая бенефициаров (в том числе конечных)» </w:t>
      </w:r>
      <w:r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c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приложением 1 «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Перечень подтверждающих документов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» и приложением 2 «Согласие на обработку и передачу персональных и иных охраняемых законом данных» приведена в отдельном файле в формате </w:t>
      </w:r>
      <w:r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Microsoft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Word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337" w:name="_MON_1741074142"/>
      <w:r>
        <w:rPr>
          <w:rFonts w:ascii="Times New Roman" w:hAnsi="Times New Roman" w:eastAsia="Times New Roman" w:cs="Times New Roman"/>
          <w:sz w:val="22"/>
          <w:szCs w:val="22"/>
        </w:rPr>
      </w:r>
      <w:bookmarkEnd w:id="337"/>
      <w:r>
        <w:rPr>
          <w:rFonts w:ascii="Times New Roman" w:hAnsi="Times New Roman" w:eastAsia="Times New Roman" w:cs="Times New Roman"/>
          <w:sz w:val="22"/>
          <w:szCs w:val="2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19125"/>
                <wp:effectExtent l="0" t="0" r="0" b="0"/>
                <wp:docPr id="2" name="_x0000_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2">
                          <a:extLst>
                            <a:ext uri="{96DAC541-7B7A-43D3-8B79-37D633B846F1}">
                              <asvg:svgBlip xmlns:asvg="http://schemas.microsoft.com/office/drawing/2016/SVG/main" r:embed="rId23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78.75pt;height:48.75pt;mso-wrap-distance-left:0.00pt;mso-wrap-distance-top:0.00pt;mso-wrap-distance-right:0.00pt;mso-wrap-distance-bottom:0.00pt;" stroked="f">
                <v:path textboxrect="0,0,0,0"/>
                <v:imagedata r:id="rId22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38" w:name="_Toc55"/>
      <w:r>
        <w:rPr>
          <w:rFonts w:ascii="Times New Roman" w:hAnsi="Times New Roman" w:eastAsia="Times New Roman" w:cs="Times New Roman"/>
          <w:sz w:val="22"/>
          <w:szCs w:val="22"/>
        </w:rPr>
      </w:r>
      <w:bookmarkStart w:id="338" w:name="_Ref130395475"/>
      <w:r>
        <w:rPr>
          <w:rFonts w:ascii="Times New Roman" w:hAnsi="Times New Roman" w:eastAsia="Times New Roman" w:cs="Times New Roman"/>
          <w:sz w:val="22"/>
          <w:szCs w:val="22"/>
        </w:rPr>
        <w:t xml:space="preserve">Форма «Заверение об обстоятельствах»</w:t>
      </w:r>
      <w:bookmarkEnd w:id="338"/>
      <w:r>
        <w:rPr>
          <w:rFonts w:ascii="Times New Roman" w:hAnsi="Times New Roman" w:eastAsia="Times New Roman" w:cs="Times New Roman"/>
          <w:sz w:val="22"/>
          <w:szCs w:val="22"/>
        </w:rPr>
      </w:r>
      <w:bookmarkEnd w:id="438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Форма Заверени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об обстоятельствах предоставляется Победителем закупки (поставщиком) только при заключении договоров стоимостью свыше 100 000</w:t>
      </w:r>
      <w:r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000 (Ста миллионов) рублей либо договоров (без ограничения по сумме), положения которых не содержат аналогичных заверений об обстоятельствах, и предоставляется Заказчику в срок не позднее 3</w:t>
      </w:r>
      <w:r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(трех) рабочих дней с даты официального размещения Организатором итогового протокола по результатам закупки.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Победител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ь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закупки (поставщик) должен выбрать соответствующий ему вариант Заверения об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обстоятельствах, исходя из необходимости получения согласий органов управления / одобрения сделки органами управления Поставщика в соответствии с законодательством, уставом, внутренними документами и отдельными решениями органов управления Поставщика, для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последующего заключения Договора по предмету настоящей закупки.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Заверение об обстоятельствах следует оформить на официальном бланке Победителя закупки (поставщика) (с указанием даты 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номера в соответствии с принятыми у него правилами документооборота) и заверить подписью единоличного исполнительного органа Победителя закупки (поставщика) (или иным уполномоченным лицом на основании доверенности), а также скрепить печатью (при наличии).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Форма «Заверение об обстоятельствах» приведена в отдельном файле в формате </w:t>
      </w:r>
      <w:r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Microsoft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val="en-US"/>
        </w:rPr>
        <w:t xml:space="preserve">Word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jc w:val="center"/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340" w:name="_MON_1741074184"/>
      <w:r>
        <w:rPr>
          <w:rFonts w:ascii="Times New Roman" w:hAnsi="Times New Roman" w:eastAsia="Times New Roman" w:cs="Times New Roman"/>
          <w:sz w:val="22"/>
          <w:szCs w:val="22"/>
        </w:rPr>
      </w:r>
      <w:bookmarkEnd w:id="340"/>
      <w:r>
        <w:rPr>
          <w:rFonts w:ascii="Times New Roman" w:hAnsi="Times New Roman" w:eastAsia="Times New Roman" w:cs="Times New Roman"/>
          <w:sz w:val="22"/>
          <w:szCs w:val="2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19125"/>
                <wp:effectExtent l="0" t="0" r="0" b="0"/>
                <wp:docPr id="3" name="_x0000_i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4">
                          <a:extLst>
                            <a:ext uri="{96DAC541-7B7A-43D3-8B79-37D633B846F1}">
                              <asvg:svgBlip xmlns:asvg="http://schemas.microsoft.com/office/drawing/2016/SVG/main" r:embed="rId25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78.75pt;height:48.75pt;mso-wrap-distance-left:0.00pt;mso-wrap-distance-top:0.00pt;mso-wrap-distance-right:0.00pt;mso-wrap-distance-bottom:0.00pt;" stroked="f">
                <v:path textboxrect="0,0,0,0"/>
                <v:imagedata r:id="rId24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39" w:name="_Toc56"/>
      <w:r>
        <w:rPr>
          <w:rFonts w:ascii="Times New Roman" w:hAnsi="Times New Roman" w:eastAsia="Times New Roman" w:cs="Times New Roman"/>
          <w:sz w:val="22"/>
          <w:szCs w:val="22"/>
        </w:rPr>
      </w:r>
      <w:bookmarkStart w:id="341" w:name="Прил06_СоставЗаявки"/>
      <w:r>
        <w:rPr>
          <w:rFonts w:ascii="Times New Roman" w:hAnsi="Times New Roman" w:eastAsia="Times New Roman" w:cs="Times New Roman"/>
          <w:sz w:val="22"/>
          <w:szCs w:val="22"/>
        </w:rPr>
      </w:r>
      <w:bookmarkEnd w:id="341"/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6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Состав заявки</w:t>
      </w:r>
      <w:bookmarkEnd w:id="328"/>
      <w:r>
        <w:rPr>
          <w:rFonts w:ascii="Times New Roman" w:hAnsi="Times New Roman" w:eastAsia="Times New Roman" w:cs="Times New Roman"/>
          <w:sz w:val="22"/>
          <w:szCs w:val="22"/>
        </w:rPr>
      </w:r>
      <w:bookmarkEnd w:id="329"/>
      <w:r>
        <w:rPr>
          <w:rFonts w:ascii="Times New Roman" w:hAnsi="Times New Roman" w:eastAsia="Times New Roman" w:cs="Times New Roman"/>
          <w:sz w:val="22"/>
          <w:szCs w:val="22"/>
        </w:rPr>
      </w:r>
      <w:bookmarkEnd w:id="439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40" w:name="_Toc57"/>
      <w:r>
        <w:rPr>
          <w:rFonts w:ascii="Times New Roman" w:hAnsi="Times New Roman" w:eastAsia="Times New Roman" w:cs="Times New Roman"/>
          <w:sz w:val="22"/>
          <w:szCs w:val="22"/>
        </w:rPr>
        <w:t xml:space="preserve">Состав заявки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440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Заявка на участие в закупке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(окончательное предложение)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должна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состоять из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перв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част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втор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част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 ценово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го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предложени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я, которые должны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содержать следующий комплект документов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бразцы форм документов, включаемых в состав заявки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инструкциями по их оформлению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</w:t>
      </w:r>
      <w:r>
        <w:rPr>
          <w:rFonts w:ascii="Times New Roman" w:hAnsi="Times New Roman" w:eastAsia="Times New Roman" w:cs="Times New Roman"/>
          <w:sz w:val="22"/>
          <w:szCs w:val="22"/>
          <w:highlight w:val="yellow"/>
        </w:rPr>
        <w:t xml:space="preserve">приведены в</w:t>
      </w:r>
      <w:r>
        <w:rPr>
          <w:rFonts w:ascii="Times New Roman" w:hAnsi="Times New Roman" w:eastAsia="Times New Roman" w:cs="Times New Roman"/>
          <w:sz w:val="22"/>
          <w:szCs w:val="22"/>
          <w:highlight w:val="yellow"/>
        </w:rPr>
        <w:t xml:space="preserve"> </w:t>
      </w:r>
      <w:hyperlink w:tooltip="#Прил04_ФормыЗаявки" w:anchor="Прил04_ФормыЗаявки" w:history="1"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yellow"/>
          </w:rPr>
          <w:t xml:space="preserve">Приложени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yellow"/>
          </w:rPr>
          <w:t xml:space="preserve">и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yellow"/>
          </w:rPr>
          <w:t xml:space="preserve"> № </w:t>
        </w:r>
        <w:r>
          <w:rPr>
            <w:rStyle w:val="1211"/>
            <w:rFonts w:ascii="Times New Roman" w:hAnsi="Times New Roman" w:eastAsia="Times New Roman" w:cs="Times New Roman"/>
            <w:sz w:val="22"/>
            <w:szCs w:val="22"/>
            <w:highlight w:val="yellow"/>
          </w:rPr>
          <w:t xml:space="preserve">4</w:t>
        </w:r>
      </w:hyperlink>
      <w:r>
        <w:rPr>
          <w:rFonts w:ascii="Times New Roman" w:hAnsi="Times New Roman" w:eastAsia="Times New Roman" w:cs="Times New Roman"/>
          <w:sz w:val="22"/>
          <w:szCs w:val="22"/>
          <w:highlight w:val="yellow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Style w:val="1208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8074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п/п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Наименование документа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ind w:left="360"/>
              <w:jc w:val="center"/>
              <w:keepNext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keepNext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Первая часть заявки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 (первая часть заявки, содержащиеся в окончательном предложении)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Техническое предложение (форма 4), которое в том числе может включать План распределения объемов поставки продукции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(без указания указание сведений, позволяющих каким-либо образом идентифицировать лидера коллективного участника, члена коллективного участника, генеральный подрядчик или привлекаемого им субподрядчика / соисполнителя)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rPr>
                <w:rFonts w:eastAsia="Calibri" w:cs="Times New Roman"/>
                <w:bCs/>
                <w:i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Календарный график (форма 5) </w:t>
            </w:r>
            <w:r>
              <w:rPr>
                <w:rFonts w:eastAsia="Calibri" w:cs="Times New Roman"/>
                <w:i/>
                <w:sz w:val="22"/>
                <w:szCs w:val="22"/>
                <w:shd w:val="clear" w:color="auto" w:fill="d0cece"/>
              </w:rPr>
              <w:t xml:space="preserve">в рамках данной процедуры предоставление Календарного графика не требуется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;</w:t>
            </w:r>
            <w:r>
              <w:rPr>
                <w:rFonts w:eastAsia="Calibri" w:cs="Times New Roman"/>
                <w:bCs/>
                <w:i/>
                <w:highlight w:val="none"/>
              </w:rPr>
            </w:r>
            <w:r>
              <w:rPr>
                <w:rFonts w:eastAsia="Calibri" w:cs="Times New Roman"/>
                <w:bCs/>
                <w:i/>
                <w:highlight w:val="none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Документы и сведения, предоставляемые в первой части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заявки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исключительно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для целей проведения оценки заявок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– предоставля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ю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тся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если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 </w:t>
            </w:r>
            <w:hyperlink w:tooltip="#Прил08_ПорядокОценки" w:anchor="Прил08_ПорядокОцен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Порядке и критериях оценки и сопоставления заявок (Приложение № 8)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установлен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соответствующ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критери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оценки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которые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касаются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или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продукции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или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слови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й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исполнения договора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(такие документы и сведения не должны позволять каким-либо образом идентифицировать Участника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, в том числе через сведения о материально-технических или кадровых ресурсах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ind w:left="360"/>
              <w:jc w:val="center"/>
              <w:keepNext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keepNext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Вторая часть заявки: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Письмо о подаче оферты (форма 2);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Анкета Участника (форма 6);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Документы, подтверждающие соответствие Участника обязательным требованиям Документации о закупке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_Ref125361435 \w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8.2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Приложения № 3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а также необходимые документы для прохождения (при необходимости) процедуры аккредитации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– требования 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подтверждающим документам приведены в указанном подразделе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Документы, подтверждающие соответствие Участника специальным требованиям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предоставля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ю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тся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если соответствующие требования установлены в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Документации о закупке (подраздел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_Ref125709153 \r \h 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8.3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Приложения № 3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Документы, подтверждающие соответствие Коллективного участника требованиям Документации о закупке (подраздел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_Ref125709228 \r \h 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8.4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Приложения № 3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предоставля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ю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тся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если Участник подает заявку от лица Коллективного участника (подраздел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_Ref130305355 \r \h 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3.2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), а именно: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План распределения объемов поставки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продукции,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представленны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й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нутри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4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прочие документы, определенные в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_Ref125709228 \r \h 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8.4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Приложения № 3</w:t>
              </w:r>
            </w:hyperlink>
            <w:r>
              <w:rPr>
                <w:rStyle w:val="1211"/>
                <w:rFonts w:ascii="Times New Roman" w:hAnsi="Times New Roman" w:eastAsia="Times New Roman" w:cs="Times New Roman"/>
                <w:sz w:val="22"/>
                <w:szCs w:val="22"/>
              </w:rPr>
              <w:t xml:space="preserve">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Документы, подтверждающие соответствие Генерального подрядчика требованиям Документации о закупке (подраздел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_Ref125709777 \r \h 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8.5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Приложения № 3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предоставля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ю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тся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если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Участник подает заявку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от лица Генерального подрядчика (подраздел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_Ref125361702 \r \h 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3.3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), 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именно: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План распределения объемов поставки продукции,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представленны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й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нутри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4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прочие документы, определенные в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_Ref125709777 \r \h 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8.5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Приложения № 3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345" w:name="_Ref132888537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345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Копия независимой гарантии –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предоставляется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при необходимости 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случае отсутствия внесенных Участником денежных средств 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специальный банковский счет;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346" w:name="_Ref130389408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346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Справка об опыте Участника (форма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с необходимыми приложениями 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ней, если требуется,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– предоставляется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 второй части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заявки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исключительно для целей проведения оценки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если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 </w:t>
            </w:r>
            <w:hyperlink w:tooltip="#Прил08_ПорядокОценки" w:anchor="Прил08_ПорядокОцен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Порядк</w:t>
              </w:r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е</w:t>
              </w:r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 и критери</w:t>
              </w:r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ях</w:t>
              </w:r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 оценки и сопоставления заявок</w:t>
              </w:r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 (Приложение № </w:t>
              </w:r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8</w:t>
              </w:r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)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установлен соответствующий критерий оценки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части опыта;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347" w:name="_Ref130389413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347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Справка о материально-технических ресурсах (форма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необходимыми приложениями 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ней, если требуется,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предоставляется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 второй части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заявки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исключительно для целей проведения оценки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если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 </w:t>
            </w:r>
            <w:hyperlink w:tooltip="#Прил08_ПорядокОценки" w:anchor="Прил08_ПорядокОцен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Порядке и критериях оценки и сопоставления заявок (Приложение № 8)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установлен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соответствующий критерий оценки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части наличия (привлечения) материально-технических ресурсов;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348" w:name="_Ref130389419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348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Справка о кадровых ресурсах (форма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с необходимыми приложениями 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ней, если требуется,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предоставляется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 второй части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заявки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исключительно для целей проведения оценки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если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 </w:t>
            </w:r>
            <w:hyperlink w:tooltip="#Прил08_ПорядокОценки" w:anchor="Прил08_ПорядокОцен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Порядке и критериях оценки и сопоставления заявок (Приложение № 8)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установлен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соответствующий критерий оценки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части наличия (привлечения) кадровых ресурсов;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Справка об аффилированности Участника с изготовителем (производителем) предлагаемого товара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(форма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 – предоставляется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если Участники имеет признаки аффилированности согласно критериям, установленным в инструкции к указанной справке (дополнительно предоставляются документы, подтверждающие аффилированность по тому или иному критерию)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если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 </w:t>
            </w:r>
            <w:hyperlink w:tooltip="#Прил08_ПорядокОценки" w:anchor="Прил08_ПорядокОцен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Порядке и </w:t>
              </w:r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критериях оценки и сопоставления заявок (Приложение № 8)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установлен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соответствующий критерий оценки в части наличия аффилированности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окумент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(или их копии)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подтверждающи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соответствие предлагаемой 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поставке продукции требованиям, установленным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Технических требованиях (Приложение № 1)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– предоставля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ю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тся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если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Технических требованиях (Приложение № 1)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было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установлено соответствующ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 требовани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ind w:left="360"/>
              <w:jc w:val="center"/>
              <w:keepNext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keepNext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Ценовое предложение: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Коммерческое предложение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(включая Структуру НМЦ)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(форма 3)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также дополнительно предоставля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тся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подтверждающая документация, составленная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соответствии 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Техническими требованиями (Приложение № 1)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только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если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Технических требованиях установлены требования 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документации по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ценообразованию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(подраздел «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Требования 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документации по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ценообразованию на этапе закупки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»)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либо аналогичн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ые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по смыслу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1183"/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pPr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  <w:t xml:space="preserve">Е</w:t>
      </w:r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  <w:t xml:space="preserve">сли по каким-либо причинам Участник не может предоставить какой-либо из</w:t>
      </w:r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  <w:t xml:space="preserve"> </w:t>
      </w:r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  <w:t xml:space="preserve">требуемых документов, он может в составе заявки приложить составленную в</w:t>
      </w:r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  <w:t xml:space="preserve"> </w:t>
      </w:r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  <w:t xml:space="preserve">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</w:t>
      </w:r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  <w:t xml:space="preserve"> </w:t>
      </w:r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  <w:t xml:space="preserve">Участника обязанности по предоставлению требуемого документа).</w:t>
      </w:r>
      <w:r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r>
      <w:r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r>
    </w:p>
    <w:p>
      <w:pPr>
        <w:pStyle w:val="1187"/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</w:r>
      <w:r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r>
      <w:r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r>
    </w:p>
    <w:p>
      <w:pPr>
        <w:pStyle w:val="118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41" w:name="_Toc58"/>
      <w:r>
        <w:rPr>
          <w:rFonts w:ascii="Times New Roman" w:hAnsi="Times New Roman" w:eastAsia="Times New Roman" w:cs="Times New Roman"/>
          <w:sz w:val="22"/>
          <w:szCs w:val="22"/>
        </w:rPr>
      </w:r>
      <w:bookmarkStart w:id="349" w:name="Прил07_ОтборочныеКритерии"/>
      <w:r>
        <w:rPr>
          <w:rFonts w:ascii="Times New Roman" w:hAnsi="Times New Roman" w:eastAsia="Times New Roman" w:cs="Times New Roman"/>
          <w:sz w:val="22"/>
          <w:szCs w:val="22"/>
        </w:rPr>
      </w:r>
      <w:bookmarkStart w:id="350" w:name="_Ref125365264"/>
      <w:r>
        <w:rPr>
          <w:rFonts w:ascii="Times New Roman" w:hAnsi="Times New Roman" w:eastAsia="Times New Roman" w:cs="Times New Roman"/>
          <w:sz w:val="22"/>
          <w:szCs w:val="22"/>
        </w:rPr>
      </w:r>
      <w:bookmarkEnd w:id="349"/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7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Отборочные критерии рассмотрения заявок</w:t>
      </w:r>
      <w:bookmarkEnd w:id="350"/>
      <w:r>
        <w:rPr>
          <w:rFonts w:ascii="Times New Roman" w:hAnsi="Times New Roman" w:eastAsia="Times New Roman" w:cs="Times New Roman"/>
          <w:sz w:val="22"/>
          <w:szCs w:val="22"/>
        </w:rPr>
      </w:r>
      <w:bookmarkEnd w:id="441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spacing w:after="120"/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42" w:name="_Toc59"/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  <w:t xml:space="preserve">Отборочные критерии рассмотрения </w:t>
      </w:r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  <w:t xml:space="preserve">первых частей </w:t>
      </w:r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  <w:t xml:space="preserve">заявок</w:t>
      </w:r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  <w:t xml:space="preserve"> (первых частей заявок, содержащихся в окончательных предложениях)</w:t>
      </w:r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</w:r>
      <w:bookmarkEnd w:id="442"/>
      <w:r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r>
      <w:r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r>
    </w:p>
    <w:tbl>
      <w:tblPr>
        <w:tblStyle w:val="1208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Номер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критерия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отборочного критерия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Номер пункта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Документации о закупке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Направления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оценки заявок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*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87"/>
              <w:keepNext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Состав и правильность оформления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первой части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заявки, в том числе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8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Наличие в составе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первой части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заявки обязательных 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предоставлению (для целей рассмотрения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первых частей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заявок в рамках отборочной стадии) документов в соответствии с требованиями </w:t>
            </w:r>
            <w:hyperlink w:tooltip="#Прил06_СоставЗаявки" w:anchor="Прил06_Состав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Приложения № 6 «Состав заявки»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а также правильность их оформления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т.ч. в части языка заявки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Style w:val="121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подразделы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_Ref130394681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4.3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_Ref125362119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4.6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hyperlink w:tooltip="#Прил06_СоставЗаявки" w:anchor="Прил06_Состав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6</w:t>
              </w:r>
            </w:hyperlink>
            <w:r>
              <w:rPr>
                <w:rStyle w:val="1211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1211"/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8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Отсутствие в материалах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(документах) первой части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заявки недостоверных сведений или намеренно искаженной информации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или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документов, внутренних противоречий между различными частями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или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документами заявки,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том числе по тексту внутри одного документа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также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противоречий между документами заявки и сведениями, указанными Участником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структурированных формах на ЭП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_Ref130394681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4.3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8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Отсутствие в материалах первой части заявки сведений об Участнике 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или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о его ценовом предложении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_Ref130394681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87"/>
              <w:keepNext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Соответствие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ехническ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ого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 предложени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Участника </w:t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b/>
                  <w:bCs/>
                  <w:sz w:val="22"/>
                  <w:szCs w:val="22"/>
                </w:rPr>
                <w:t xml:space="preserve">Техническим требованиям (Приложение № 1)</w:t>
              </w:r>
            </w:hyperlink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, в том числе: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keepNext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keepNext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8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предложения установленным требованиям к предоставлению национального режима, в том числе в части состава и требований к информации и перечню документов, которые подтверждают страну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происхождения товара, установленным в </w:t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Технических требованиях (Приложение № 1)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(пункт применяется только в случае установления режима запрета закупки иностранной продукции (подраздел 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instrText xml:space="preserve"> REF _Ref132816300 \r \h </w:instrTex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4.20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))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подразделы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_Ref130394681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4.3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_Ref125362364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4.9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1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8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предложения установленным требованиям к предоставлению национального режима в части предоставления информации и перечня документов, которые подтверждают страну происхождения товара, установленным в </w:t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Технических требованиях (Приложение № 1)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(пункт применяется только в случае установления режима ограничения закупки иностранной продукции или режима преимущества российской продукции (подраздел 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instrText xml:space="preserve"> REF _Ref132816300 \r \h </w:instrTex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4.20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))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подразделы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_Ref130394681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4.3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_Ref125362364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4.9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1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8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объ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мов и состава работ / услуг, технологии производства работ, предложенных Участником в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ехническом предложении, требованиям,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указанным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Технический требованиях (Приложение № 1)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_Ref130394681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4.3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1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8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номенклатуры, количества и характеристик материалов / оборудования, предложенных Участником в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ехническом предложении,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требованиям, указанным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Технический требованиях (Приложение № 1)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_Ref130394681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4.3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1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8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Календарного графика требованиям к срокам и этапам реализации Договора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указанным в </w:t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Технический требованиях (Приложение № 1)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или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 в </w:t>
            </w:r>
            <w:hyperlink w:tooltip="#Прил02_ПроектДоговора" w:anchor="Прил02_ПроектДоговора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Проекте договора (Приложение № 2)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Calibri" w:cs="Times New Roman"/>
                <w:i/>
                <w:sz w:val="22"/>
                <w:szCs w:val="22"/>
                <w:shd w:val="clear" w:color="auto" w:fill="d0cece"/>
              </w:rPr>
              <w:t xml:space="preserve">в рамках данной процедуры предоставление Календарного графика не требуется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1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hyperlink w:tooltip="#Прил02_ПроектДоговора" w:anchor="Прил02_ПроектДоговора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2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8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требованиям к гарантии на поставляемые материалы / оборудование и результаты выполненных работ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указанным в </w:t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Технический требованиях (Приложение № 1)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или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 в </w:t>
            </w:r>
            <w:hyperlink w:tooltip="#Прил02_ПроектДоговора" w:anchor="Прил02_ПроектДоговора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Проекте договора (Приложение № 2)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ункт применяется только в случае установления соответствующих требований)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1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hyperlink w:tooltip="#Прил02_ПроектДоговора" w:anchor="Прил02_ПроектДоговора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2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8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предлагаемой к поставке продукции дополнительным требованиям,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установленным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 </w:t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Технический требованиях (Приложение № 1)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с предоставлением требуемых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подтверждающих документов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ункт применяется только в случае установления соответствующих требований)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1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1182"/>
        <w:spacing w:after="120"/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43" w:name="_Toc60"/>
      <w:r>
        <w:rPr>
          <w:rFonts w:ascii="Times New Roman" w:hAnsi="Times New Roman" w:eastAsia="Times New Roman" w:cs="Times New Roman"/>
          <w:sz w:val="22"/>
          <w:szCs w:val="22"/>
        </w:rPr>
      </w:r>
      <w:bookmarkStart w:id="354" w:name="_Hlk132891087"/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  <w:t xml:space="preserve">Отборочные критерии рассмотрения вторых частей заявок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354"/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</w:r>
      <w:bookmarkEnd w:id="443"/>
      <w:r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r>
      <w:r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r>
    </w:p>
    <w:tbl>
      <w:tblPr>
        <w:tblStyle w:val="1208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Номер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критерия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отборочного критерия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Номер пункта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Документации о закупке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Направления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оценки заявок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*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87"/>
              <w:keepNext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Состав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и правильность оформления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второй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 части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заявки, в том числе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1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Наличие в составе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второй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части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заявки всех обязательных 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предоставлению (для целей рассмотрения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вторых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частей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заявок в рамках отборочной стадии) документов в соответствии с требованиями </w:t>
            </w:r>
            <w:hyperlink w:tooltip="#Прил06_СоставЗаявки" w:anchor="Прил06_Состав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Приложения № 6 «Состав заявки»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а также правильность их оформления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т.ч. в части наличия должных печатей, подписей, формы заверения, языка и валюты заявки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Style w:val="121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подразделы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_Ref130394681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_Ref125362119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4.6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hyperlink w:tooltip="#Прил06_СоставЗаявки" w:anchor="Прил06_Состав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6</w:t>
              </w:r>
            </w:hyperlink>
            <w:r>
              <w:rPr>
                <w:rStyle w:val="1211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1211"/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Орг, Тех,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Юр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1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356" w:name="_Ref132890414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356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Наличие обеспечения обязательств Участника, связанного с подачей заявки, в виде независимой гарантии и ее соответствие установленным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требованиям Документации о закупке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если подразделом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_Ref125359973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1.2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предусмотрена обязанность Участников предоставить обеспечение заявки на участие в закупке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 в случае отсутствия внесение денежных средств 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специальный банковский счет, открытый Участником в банке, включенном в перечень, определенный Правительством Российской Федерации в соответствии с Законом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44-ФЗ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_Ref130455226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4.18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Орг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– в части наличия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сведений в реестре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Фин – в части соответствия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1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Отсутствие в материалах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(документах) второй части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заявки недостоверных сведений или намеренно искаженной информации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или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документов, внутренних противоречий между различными частями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или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документами заявки,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том числе по тексту внутри одного документа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а также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противоречий между документами заявки и сведениями, указанными Участником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структурированных формах на ЭП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_Ref130394681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Орг, Тех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Юр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87"/>
              <w:keepNext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Соответствие Письма о подаче оферты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keepNext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keepNext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1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(в том числе содержание)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Письма о подаче оферты установленной форме и иным требованиям Документации о закупке, в т.ч. в части срока действия заявки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подразделы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_Ref130394681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hyperlink w:tooltip="#Прил04_ФормыЗаявки" w:anchor="Прил04_Формы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4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87"/>
              <w:keepNext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Соответствие Участника установленным требованиям Документации о закупке, в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том числе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1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Участника пункту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_Ref125552433 \w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обязательных требований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к Участникам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 рамках осуществления экспертизы заявки Участника в том числе проверяется наличие у него статуса «аккредитован» / «аккредитация не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требуется», или проводится процедура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его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аккредитации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(при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необходимости). В рамках заключения Договора Победитель в целях подтверждения своего соответствия предоставляет документы в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порядке, предусмотренном подразделом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instrText xml:space="preserve"> REF _Ref138341423 \r \h </w:instrTex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5.2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_Ref125361435 \w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8.2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3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Орг,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Юр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1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Участника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пункт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_Ref132893662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обязательных требований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к Участникам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_Ref125361435 \w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8.2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3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1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Участника пункт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обязательных требований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к Участникам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_Ref125361435 \w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8.2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3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1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Участника пункту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_Ref186181914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обязательных требований к Участникам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(пункт применяется только в случае установления режима запрета закупки иностранной продукции (подраздел 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instrText xml:space="preserve"> REF _Ref132816300 \r \h </w:instrTex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instrText xml:space="preserve"> \* MERGEFORMAT </w:instrTex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4.20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))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_Ref125361435 \w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8.2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3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1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Участника пункту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_Ref186181918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обязательных требований к Участникам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(пункт применяется только в случае установления режима ограничения закупки иностранной продукции или режима преимущества российской продукции (подраздел 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instrText xml:space="preserve"> REF _Ref132816300 \r \h </w:instrTex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instrText xml:space="preserve"> \* MERGEFORMAT </w:instrTex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4.20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))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_Ref125361435 \w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8.2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3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1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Участника специальным требованиям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к Участникам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ункт применяется только в случае установления соответствующих требований)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_Ref125361442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8.3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3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1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Коллективного участника установленным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 отношении его требованиям: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ункт применяется только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в случае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рассмотрения заявки, поданной Коллективным участником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(подраздел 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instrText xml:space="preserve"> REF _Ref130305355 \r \h </w:instrTex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3.2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1"/>
                <w:numId w:val="1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 части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требований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пункта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_Ref125553738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_Ref125552455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8.4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3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1"/>
                <w:numId w:val="1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 части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требований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пункта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_Ref125370162 \w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 рамках осуществления экспертизы заявки Участника в отношении каждого члена Коллективного участника в том числе проверяется наличие у него статуса «аккредитован» / «аккредитация не требуется», или проводится процедура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его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аккредитации (при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необходимости). В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рамках заключения Договора Победитель в целях подтверждения своего соответствия предоставляет документы в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порядке, предусмотренном подразделом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instrText xml:space="preserve"> REF _Ref138341423 \r \h </w:instrTex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5.2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_Ref125552455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8.4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3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Орг, Тех,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Юр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1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Генерального подрядчика установленным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 отношении его требованиям: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ункт применяется только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в случае проведения закупк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и, принять участие в которой можно от лица Генерального подрядчика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(подраздел 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instrText xml:space="preserve"> REF _Ref125359973 \r \h </w:instrTex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1.2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, подраздел 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instrText xml:space="preserve"> REF _Ref125361702 \r \h </w:instrTex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3.3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) и заявка подана от его лица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1"/>
                <w:numId w:val="1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 части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требований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пунктов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_Ref125370187 \w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_Ref125553847 \w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_Ref125709777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8.5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3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1"/>
                <w:numId w:val="1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11"/>
              </w:numPr>
              <w:ind w:left="284" w:hanging="28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 части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требований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пункта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_Ref125370193 \w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\* MERGEFORMAT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_Ref125709777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8.5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3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Орг, Тех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87"/>
              <w:keepNext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Соответствие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ехническ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ого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 предложени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Участника </w:t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b/>
                  <w:bCs/>
                  <w:sz w:val="22"/>
                  <w:szCs w:val="22"/>
                </w:rPr>
                <w:t xml:space="preserve">Техническим требованиям (Приложение № 1)</w:t>
              </w:r>
            </w:hyperlink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, в том числе: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keepNext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keepNext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17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предлагаемой к поставке продукции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иным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требованиям,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установленным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 </w:t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Технически</w:t>
              </w:r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х</w:t>
              </w:r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 требованиях (Приложение № 1)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предоставлением требуемых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подтверждающих документов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ункт применяется только в случае установления соответствующих требований)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1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1182"/>
        <w:spacing w:after="120"/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44" w:name="_Toc61"/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  <w:t xml:space="preserve">Отборочные критерии рассмотрения ценовых предложений (дополнительных ценовых предложений)</w:t>
      </w:r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</w:r>
      <w:bookmarkEnd w:id="444"/>
      <w:r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r>
      <w:r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r>
    </w:p>
    <w:tbl>
      <w:tblPr>
        <w:tblStyle w:val="1208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Номер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критерия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отборочного критерия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Номер пункта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Документации о закупке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Направления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оценки заявок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*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87"/>
              <w:keepNext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Состав, содержание и правильность оформления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ценового предложения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, в том числе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ценового предложения по составу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требованиям </w:t>
            </w:r>
            <w:hyperlink w:tooltip="#Прил06_СоставЗаявки" w:anchor="Прил06_Состав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Приложения № 6 «Состав заявки»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а также правильности оформления документов, входящих в его состав, в том числе установленной форме и иным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и иным требованиям Документации о закупке (в т.ч. в части языка и валюты заявки)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подразделы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_Ref130394681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_Ref125362119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4.6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jc w:val="center"/>
              <w:rPr>
                <w:rStyle w:val="121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w:tooltip="#Прил06_СоставЗаявки" w:anchor="Прил06_Состав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6</w:t>
              </w:r>
            </w:hyperlink>
            <w:r>
              <w:rPr>
                <w:rStyle w:val="1211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1211"/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Цена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Отсутствие в материалах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(документов)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ценового предложения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недостоверных сведений или намеренно искаженной информации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или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документов, внутренних противоречий между различными частями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или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документами заявки,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том числе по тексту внутри одного документа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а также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противоречий между документами заявки и сведениями, указанными Участником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структурированных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формах на ЭП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_Ref130394681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Цена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87"/>
              <w:keepNext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Соответствие Коммерческого предложения Участника требованиям Документации о закупке, в том числе: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keepNext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keepNext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–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 Коммерческого предложения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подразделы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_Ref130394681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hyperlink w:tooltip="#Прил04_ФормыЗаявки" w:anchor="Прил04_Формы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4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Цена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18"/>
              </w:numPr>
              <w:ind w:left="1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Соответствие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подтверждающей документации, прилагаемой 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Коммерческому приложению (форма 3) (</w:t>
            </w:r>
            <w:hyperlink w:tooltip="#Прил04_ФормыЗаявки" w:anchor="Прил04_Формы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4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требованиям,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указанным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Технически</w:t>
              </w:r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х</w:t>
              </w:r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 требованиях (Приложение № 1)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ункт применяется только в случае установления соответствующих </w:t>
            </w: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требований в </w:t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i/>
                  <w:iCs/>
                  <w:sz w:val="22"/>
                  <w:szCs w:val="22"/>
                </w:rPr>
                <w:t xml:space="preserve">Технических требованиях (Приложение № 1)</w:t>
              </w:r>
            </w:hyperlink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w:tooltip="#Прил01_ТехТребования" w:anchor="Прил01_ТехТребования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1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Цена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1182"/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45" w:name="_Toc62"/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  <w:t xml:space="preserve">Дополнительные</w:t>
      </w:r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  <w:t xml:space="preserve"> критерии проверки заяв</w:t>
      </w:r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  <w:t xml:space="preserve">ок</w:t>
      </w:r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  <w:t xml:space="preserve"> на соответстви</w:t>
      </w:r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  <w:t xml:space="preserve">е</w:t>
      </w:r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  <w:t xml:space="preserve"> условиям Документации о закупке</w:t>
      </w:r>
      <w:r>
        <w:rPr>
          <w:rStyle w:val="1192"/>
          <w:rFonts w:ascii="Times New Roman" w:hAnsi="Times New Roman" w:eastAsia="Times New Roman" w:cs="Times New Roman"/>
          <w:i w:val="0"/>
          <w:iCs w:val="0"/>
          <w:sz w:val="22"/>
          <w:szCs w:val="22"/>
          <w:shd w:val="clear" w:color="auto" w:fill="auto"/>
        </w:rPr>
      </w:r>
      <w:bookmarkEnd w:id="445"/>
      <w:r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r>
      <w:r>
        <w:rPr>
          <w:rStyle w:val="1192"/>
          <w:rFonts w:ascii="Times New Roman" w:hAnsi="Times New Roman" w:cs="Times New Roman"/>
          <w:i w:val="0"/>
          <w:iCs w:val="0"/>
          <w:sz w:val="22"/>
          <w:szCs w:val="22"/>
          <w:shd w:val="clear" w:color="auto" w:fill="auto"/>
        </w:rPr>
      </w:r>
    </w:p>
    <w:p>
      <w:pPr>
        <w:pStyle w:val="1187"/>
        <w:keepNext/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Несоответстви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одному или всем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дополнительн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ым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критери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ям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не являет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основанием для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отклонения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заявки.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Style w:val="1208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Номер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критерия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отборочного критерия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Номер пункта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Документации о закупке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Направления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оценки заявок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*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8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Наличие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 заявке в форме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Коммерческо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го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предложени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информации 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стране происхождения 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87"/>
              <w:jc w:val="center"/>
              <w:rPr>
                <w:rStyle w:val="121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подраздел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instrText xml:space="preserve"> REF _Ref132816300 \r \h </w:instrTex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4.14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</w:r>
            <w:hyperlink w:tooltip="#Прил04_ФормыЗаявки" w:anchor="Прил04_ФормыЗаявки" w:history="1">
              <w:r>
                <w:rPr>
                  <w:rStyle w:val="1211"/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Приложение № 4</w:t>
              </w:r>
            </w:hyperlink>
            <w:r>
              <w:rPr>
                <w:rStyle w:val="1211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1211"/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Цена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1187"/>
        <w:keepNext/>
        <w:spacing w:before="240"/>
        <w:tabs>
          <w:tab w:val="left" w:pos="851" w:leader="none"/>
        </w:tabs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* 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Направления оценки заявок:</w:t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</w:p>
    <w:p>
      <w:pPr>
        <w:pStyle w:val="1187"/>
        <w:ind w:left="1701" w:hanging="1701"/>
        <w:tabs>
          <w:tab w:val="left" w:pos="1134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Орг</w:t>
      </w:r>
      <w:r>
        <w:rPr>
          <w:rFonts w:ascii="Times New Roman" w:hAnsi="Times New Roman" w:eastAsia="Times New Roman" w:cs="Times New Roman"/>
          <w:sz w:val="22"/>
          <w:szCs w:val="22"/>
        </w:rPr>
        <w:tab/>
        <w:t xml:space="preserve">–</w:t>
      </w:r>
      <w:r>
        <w:rPr>
          <w:rFonts w:ascii="Times New Roman" w:hAnsi="Times New Roman" w:eastAsia="Times New Roman" w:cs="Times New Roman"/>
          <w:sz w:val="22"/>
          <w:szCs w:val="22"/>
        </w:rPr>
        <w:tab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проверка наличия в составе заявки необходимых документов для рассмотрения экспертом по своему направлению: проверка наличия в составе заявке и оценка правильности оформления Письма о подаче оферты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наличия обеспечения обязательств Участника, связанного с подачей заявки, в виде независимой гарантии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(в том числе наличие сведений о ней в соответствующем реестре в ЕИС)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в случае отсутствия внесенных Участником денежных средств на специальный банковский счет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(последние применяется только в случае установления соответствующих требований)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наличие у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Участника статуса «аккредитован», либо статуса «аккредитация не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требуется» (или наличие заявки на аккредитацию (при необходимости))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участвует в процедуре актуализации статуса аккредитации (при необходимости)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проверка отсутствие сведений об Участнике в перечне юридических лиц, в отношении которых применяются специальные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экономические меры, утвержденном Постановлением Правительства Российской Федерации от 11.05.2022 №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851;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проверка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наличи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я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информации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б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Участнике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в Реестре МСП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https://rmsp.nalog.ru/index.html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), 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отношении физических лиц, не являющихся индивидуальными предпринимателями и применяющих специальный налоговый режим «Налог 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профессиональный доход»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–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наличие информации на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фициальном сайте федерального органа исполнительной власти, уполномоченного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контролю и надзору в области налогов и сборов, о применении ими такого налогового режима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https://npd.nalog.ru/check-status/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left="1701" w:hanging="1701"/>
        <w:tabs>
          <w:tab w:val="left" w:pos="1134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Тех</w:t>
      </w:r>
      <w:r>
        <w:rPr>
          <w:rFonts w:ascii="Times New Roman" w:hAnsi="Times New Roman" w:eastAsia="Times New Roman" w:cs="Times New Roman"/>
          <w:sz w:val="22"/>
          <w:szCs w:val="22"/>
        </w:rPr>
        <w:tab/>
        <w:t xml:space="preserve">–</w:t>
      </w:r>
      <w:r>
        <w:rPr>
          <w:rFonts w:ascii="Times New Roman" w:hAnsi="Times New Roman" w:eastAsia="Times New Roman" w:cs="Times New Roman"/>
          <w:sz w:val="22"/>
          <w:szCs w:val="22"/>
        </w:rPr>
        <w:tab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проверка наличия в составе заявки всех необходимых документов для рассмотрения экспертом по своему направлению, а также правильности их оформления; оценка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ехнических предложений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 сведений, подтверждающих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я Участника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специальным требованиям Документации о закупке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 оценка квалификационных данных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Участника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(в рамках оценки заявок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соответствующим критериям оценки),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проверка технической части подтверждающей документации, прилагаемой к Коммерческому предложению (при наличии), а также, при необходимости, технических условий исполнения Договора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left="1701" w:hanging="1701"/>
        <w:tabs>
          <w:tab w:val="left" w:pos="1134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Юр</w:t>
      </w:r>
      <w:r>
        <w:rPr>
          <w:rFonts w:ascii="Times New Roman" w:hAnsi="Times New Roman" w:eastAsia="Times New Roman" w:cs="Times New Roman"/>
          <w:sz w:val="22"/>
          <w:szCs w:val="22"/>
        </w:rPr>
        <w:tab/>
        <w:t xml:space="preserve">–</w:t>
      </w:r>
      <w:r>
        <w:rPr>
          <w:rFonts w:ascii="Times New Roman" w:hAnsi="Times New Roman" w:eastAsia="Times New Roman" w:cs="Times New Roman"/>
          <w:sz w:val="22"/>
          <w:szCs w:val="22"/>
        </w:rPr>
        <w:tab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проверка наличия в составе заявки всех необходимых документов для рассмотрени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я экспертом по своему направлению, а также оценка правильности их оформления (в т.ч. в части наличия должных печатей, подписей формы заверения, языка заявки); оценка юридических аспектов заявки, в том числе оценка правомочности подписанта доверенности (при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необходимости) на основании выписки из ЕГРЮЛ (выписка из ЕГРЮЛ доступна на официальном сервисе ФНС России https://egrul.nalog.ru/index.html)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left="1701" w:hanging="1701"/>
        <w:keepNext/>
        <w:tabs>
          <w:tab w:val="left" w:pos="1134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Цена</w:t>
      </w:r>
      <w:r>
        <w:rPr>
          <w:rFonts w:ascii="Times New Roman" w:hAnsi="Times New Roman" w:eastAsia="Times New Roman" w:cs="Times New Roman"/>
          <w:sz w:val="22"/>
          <w:szCs w:val="22"/>
        </w:rPr>
        <w:tab/>
        <w:t xml:space="preserve">–</w:t>
      </w:r>
      <w:r>
        <w:rPr>
          <w:rFonts w:ascii="Times New Roman" w:hAnsi="Times New Roman" w:eastAsia="Times New Roman" w:cs="Times New Roman"/>
          <w:sz w:val="22"/>
          <w:szCs w:val="22"/>
        </w:rPr>
        <w:tab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проверка наличия в составе заявки всех необходимых документов для рассмотрения экспертом по своему направлению, а также оценка правильности их оформления (в т.ч. в части наличия должных печатей, подписей формы заверения, языка и валюты заявки);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проверка отсутствия противоречий (в части стоимости заявки (цены Договора)) между Письмом 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подаче оферты и сведениями, указанными Участником в структурированных формах на ЭП;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оценка Коммерческого предложения Участника, а также (при наличии) прилагаемой к нему подтверждающей документации (включая спецификацию) на предмет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непревышения ценового предложения участника установленного размера НМЦ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ind w:left="1701" w:hanging="1701"/>
        <w:tabs>
          <w:tab w:val="left" w:pos="1134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Фин</w:t>
      </w:r>
      <w:r>
        <w:rPr>
          <w:rFonts w:ascii="Times New Roman" w:hAnsi="Times New Roman" w:eastAsia="Times New Roman" w:cs="Times New Roman"/>
          <w:sz w:val="22"/>
          <w:szCs w:val="22"/>
        </w:rPr>
        <w:tab/>
        <w:t xml:space="preserve">–</w:t>
      </w:r>
      <w:r>
        <w:rPr>
          <w:rFonts w:ascii="Times New Roman" w:hAnsi="Times New Roman" w:eastAsia="Times New Roman" w:cs="Times New Roman"/>
          <w:sz w:val="22"/>
          <w:szCs w:val="22"/>
        </w:rPr>
        <w:tab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оценка независимой гарантии, в том числе правильность оформления рассматриваемых документов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т.ч. в части наличия должных печатей, подписей формы заверения, языка и валюты заявки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 </w:t>
      </w: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(финансовая экспертиза проводится по</w:t>
      </w: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t xml:space="preserve">инициативе эксперта по направлениям Орг, в случае наличия в заявке независимой гарантии)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случае указания по одному критерию отбора сразу нескольких направлений оценки заявок – экспертиза на соответствие указанному критерию осуществляется в пределах компетенции эксперта (в рамках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материалов (документов)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являющихся предметом его экспертизы)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rPr>
          <w:rFonts w:ascii="Times New Roman" w:hAnsi="Times New Roman" w:cs="Times New Roman"/>
          <w:sz w:val="22"/>
          <w:szCs w:val="22"/>
        </w:rPr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46" w:name="_Toc63"/>
      <w:r>
        <w:rPr>
          <w:rFonts w:ascii="Times New Roman" w:hAnsi="Times New Roman" w:eastAsia="Times New Roman" w:cs="Times New Roman"/>
          <w:sz w:val="22"/>
          <w:szCs w:val="22"/>
        </w:rPr>
      </w:r>
      <w:bookmarkStart w:id="359" w:name="Прил08_ПорядокОценки"/>
      <w:r>
        <w:rPr>
          <w:rFonts w:ascii="Times New Roman" w:hAnsi="Times New Roman" w:eastAsia="Times New Roman" w:cs="Times New Roman"/>
          <w:sz w:val="22"/>
          <w:szCs w:val="22"/>
        </w:rPr>
      </w:r>
      <w:bookmarkStart w:id="360" w:name="_Ref125361648"/>
      <w:r>
        <w:rPr>
          <w:rFonts w:ascii="Times New Roman" w:hAnsi="Times New Roman" w:eastAsia="Times New Roman" w:cs="Times New Roman"/>
          <w:sz w:val="22"/>
          <w:szCs w:val="22"/>
        </w:rPr>
      </w:r>
      <w:bookmarkStart w:id="361" w:name="_Ref125361951"/>
      <w:r>
        <w:rPr>
          <w:rFonts w:ascii="Times New Roman" w:hAnsi="Times New Roman" w:eastAsia="Times New Roman" w:cs="Times New Roman"/>
          <w:sz w:val="22"/>
          <w:szCs w:val="22"/>
        </w:rPr>
      </w:r>
      <w:bookmarkStart w:id="362" w:name="_Ref125366013"/>
      <w:r>
        <w:rPr>
          <w:rFonts w:ascii="Times New Roman" w:hAnsi="Times New Roman" w:eastAsia="Times New Roman" w:cs="Times New Roman"/>
          <w:sz w:val="22"/>
          <w:szCs w:val="22"/>
        </w:rPr>
      </w:r>
      <w:bookmarkStart w:id="363" w:name="_Ref125366280"/>
      <w:r>
        <w:rPr>
          <w:rFonts w:ascii="Times New Roman" w:hAnsi="Times New Roman" w:eastAsia="Times New Roman" w:cs="Times New Roman"/>
          <w:sz w:val="22"/>
          <w:szCs w:val="22"/>
        </w:rPr>
      </w:r>
      <w:bookmarkStart w:id="364" w:name="_Ref125366285"/>
      <w:r>
        <w:rPr>
          <w:rFonts w:ascii="Times New Roman" w:hAnsi="Times New Roman" w:eastAsia="Times New Roman" w:cs="Times New Roman"/>
          <w:sz w:val="22"/>
          <w:szCs w:val="22"/>
        </w:rPr>
      </w:r>
      <w:bookmarkStart w:id="365" w:name="_Ref125368140"/>
      <w:r>
        <w:rPr>
          <w:rFonts w:ascii="Times New Roman" w:hAnsi="Times New Roman" w:eastAsia="Times New Roman" w:cs="Times New Roman"/>
          <w:sz w:val="22"/>
          <w:szCs w:val="22"/>
        </w:rPr>
      </w:r>
      <w:bookmarkStart w:id="366" w:name="_Ref125368150"/>
      <w:r>
        <w:rPr>
          <w:rFonts w:ascii="Times New Roman" w:hAnsi="Times New Roman" w:eastAsia="Times New Roman" w:cs="Times New Roman"/>
          <w:sz w:val="22"/>
          <w:szCs w:val="22"/>
        </w:rPr>
      </w:r>
      <w:bookmarkStart w:id="367" w:name="_Ref125368165"/>
      <w:r>
        <w:rPr>
          <w:rFonts w:ascii="Times New Roman" w:hAnsi="Times New Roman" w:eastAsia="Times New Roman" w:cs="Times New Roman"/>
          <w:sz w:val="22"/>
          <w:szCs w:val="22"/>
        </w:rPr>
      </w:r>
      <w:bookmarkStart w:id="368" w:name="_Ref125368172"/>
      <w:r>
        <w:rPr>
          <w:rFonts w:ascii="Times New Roman" w:hAnsi="Times New Roman" w:eastAsia="Times New Roman" w:cs="Times New Roman"/>
          <w:sz w:val="22"/>
          <w:szCs w:val="22"/>
        </w:rPr>
      </w:r>
      <w:bookmarkStart w:id="369" w:name="_Ref125368184"/>
      <w:r>
        <w:rPr>
          <w:rFonts w:ascii="Times New Roman" w:hAnsi="Times New Roman" w:eastAsia="Times New Roman" w:cs="Times New Roman"/>
          <w:sz w:val="22"/>
          <w:szCs w:val="22"/>
        </w:rPr>
      </w:r>
      <w:bookmarkStart w:id="370" w:name="_Ref125368283"/>
      <w:r>
        <w:rPr>
          <w:rFonts w:ascii="Times New Roman" w:hAnsi="Times New Roman" w:eastAsia="Times New Roman" w:cs="Times New Roman"/>
          <w:sz w:val="22"/>
          <w:szCs w:val="22"/>
        </w:rPr>
      </w:r>
      <w:bookmarkStart w:id="371" w:name="_Ref125368291"/>
      <w:r>
        <w:rPr>
          <w:rFonts w:ascii="Times New Roman" w:hAnsi="Times New Roman" w:eastAsia="Times New Roman" w:cs="Times New Roman"/>
          <w:sz w:val="22"/>
          <w:szCs w:val="22"/>
        </w:rPr>
      </w:r>
      <w:bookmarkStart w:id="372" w:name="_Ref125368302"/>
      <w:r>
        <w:rPr>
          <w:rFonts w:ascii="Times New Roman" w:hAnsi="Times New Roman" w:eastAsia="Times New Roman" w:cs="Times New Roman"/>
          <w:sz w:val="22"/>
          <w:szCs w:val="22"/>
        </w:rPr>
      </w:r>
      <w:bookmarkStart w:id="373" w:name="_Ref125368313"/>
      <w:r>
        <w:rPr>
          <w:rFonts w:ascii="Times New Roman" w:hAnsi="Times New Roman" w:eastAsia="Times New Roman" w:cs="Times New Roman"/>
          <w:sz w:val="22"/>
          <w:szCs w:val="22"/>
        </w:rPr>
      </w:r>
      <w:bookmarkStart w:id="374" w:name="_Ref125368331"/>
      <w:r>
        <w:rPr>
          <w:rFonts w:ascii="Times New Roman" w:hAnsi="Times New Roman" w:eastAsia="Times New Roman" w:cs="Times New Roman"/>
          <w:sz w:val="22"/>
          <w:szCs w:val="22"/>
        </w:rPr>
      </w:r>
      <w:bookmarkStart w:id="375" w:name="_Ref125369021"/>
      <w:r>
        <w:rPr>
          <w:rFonts w:ascii="Times New Roman" w:hAnsi="Times New Roman" w:eastAsia="Times New Roman" w:cs="Times New Roman"/>
          <w:sz w:val="22"/>
          <w:szCs w:val="22"/>
        </w:rPr>
      </w:r>
      <w:bookmarkStart w:id="376" w:name="_Ref125369438"/>
      <w:r>
        <w:rPr>
          <w:rFonts w:ascii="Times New Roman" w:hAnsi="Times New Roman" w:eastAsia="Times New Roman" w:cs="Times New Roman"/>
          <w:sz w:val="22"/>
          <w:szCs w:val="22"/>
        </w:rPr>
      </w:r>
      <w:bookmarkEnd w:id="359"/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8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Порядок и критерии оценки и сопоставления заявок</w:t>
      </w:r>
      <w:bookmarkEnd w:id="360"/>
      <w:r>
        <w:rPr>
          <w:rFonts w:ascii="Times New Roman" w:hAnsi="Times New Roman" w:eastAsia="Times New Roman" w:cs="Times New Roman"/>
          <w:sz w:val="22"/>
          <w:szCs w:val="22"/>
        </w:rPr>
      </w:r>
      <w:bookmarkEnd w:id="361"/>
      <w:r>
        <w:rPr>
          <w:rFonts w:ascii="Times New Roman" w:hAnsi="Times New Roman" w:eastAsia="Times New Roman" w:cs="Times New Roman"/>
          <w:sz w:val="22"/>
          <w:szCs w:val="22"/>
        </w:rPr>
      </w:r>
      <w:bookmarkEnd w:id="362"/>
      <w:r>
        <w:rPr>
          <w:rFonts w:ascii="Times New Roman" w:hAnsi="Times New Roman" w:eastAsia="Times New Roman" w:cs="Times New Roman"/>
          <w:sz w:val="22"/>
          <w:szCs w:val="22"/>
        </w:rPr>
      </w:r>
      <w:bookmarkEnd w:id="363"/>
      <w:r>
        <w:rPr>
          <w:rFonts w:ascii="Times New Roman" w:hAnsi="Times New Roman" w:eastAsia="Times New Roman" w:cs="Times New Roman"/>
          <w:sz w:val="22"/>
          <w:szCs w:val="22"/>
        </w:rPr>
      </w:r>
      <w:bookmarkEnd w:id="364"/>
      <w:r>
        <w:rPr>
          <w:rFonts w:ascii="Times New Roman" w:hAnsi="Times New Roman" w:eastAsia="Times New Roman" w:cs="Times New Roman"/>
          <w:sz w:val="22"/>
          <w:szCs w:val="22"/>
        </w:rPr>
      </w:r>
      <w:bookmarkEnd w:id="365"/>
      <w:r>
        <w:rPr>
          <w:rFonts w:ascii="Times New Roman" w:hAnsi="Times New Roman" w:eastAsia="Times New Roman" w:cs="Times New Roman"/>
          <w:sz w:val="22"/>
          <w:szCs w:val="22"/>
        </w:rPr>
      </w:r>
      <w:bookmarkEnd w:id="366"/>
      <w:r>
        <w:rPr>
          <w:rFonts w:ascii="Times New Roman" w:hAnsi="Times New Roman" w:eastAsia="Times New Roman" w:cs="Times New Roman"/>
          <w:sz w:val="22"/>
          <w:szCs w:val="22"/>
        </w:rPr>
      </w:r>
      <w:bookmarkEnd w:id="367"/>
      <w:r>
        <w:rPr>
          <w:rFonts w:ascii="Times New Roman" w:hAnsi="Times New Roman" w:eastAsia="Times New Roman" w:cs="Times New Roman"/>
          <w:sz w:val="22"/>
          <w:szCs w:val="22"/>
        </w:rPr>
      </w:r>
      <w:bookmarkEnd w:id="368"/>
      <w:r>
        <w:rPr>
          <w:rFonts w:ascii="Times New Roman" w:hAnsi="Times New Roman" w:eastAsia="Times New Roman" w:cs="Times New Roman"/>
          <w:sz w:val="22"/>
          <w:szCs w:val="22"/>
        </w:rPr>
      </w:r>
      <w:bookmarkEnd w:id="369"/>
      <w:r>
        <w:rPr>
          <w:rFonts w:ascii="Times New Roman" w:hAnsi="Times New Roman" w:eastAsia="Times New Roman" w:cs="Times New Roman"/>
          <w:sz w:val="22"/>
          <w:szCs w:val="22"/>
        </w:rPr>
      </w:r>
      <w:bookmarkEnd w:id="370"/>
      <w:r>
        <w:rPr>
          <w:rFonts w:ascii="Times New Roman" w:hAnsi="Times New Roman" w:eastAsia="Times New Roman" w:cs="Times New Roman"/>
          <w:sz w:val="22"/>
          <w:szCs w:val="22"/>
        </w:rPr>
      </w:r>
      <w:bookmarkEnd w:id="371"/>
      <w:r>
        <w:rPr>
          <w:rFonts w:ascii="Times New Roman" w:hAnsi="Times New Roman" w:eastAsia="Times New Roman" w:cs="Times New Roman"/>
          <w:sz w:val="22"/>
          <w:szCs w:val="22"/>
        </w:rPr>
      </w:r>
      <w:bookmarkEnd w:id="372"/>
      <w:r>
        <w:rPr>
          <w:rFonts w:ascii="Times New Roman" w:hAnsi="Times New Roman" w:eastAsia="Times New Roman" w:cs="Times New Roman"/>
          <w:sz w:val="22"/>
          <w:szCs w:val="22"/>
        </w:rPr>
      </w:r>
      <w:bookmarkEnd w:id="373"/>
      <w:r>
        <w:rPr>
          <w:rFonts w:ascii="Times New Roman" w:hAnsi="Times New Roman" w:eastAsia="Times New Roman" w:cs="Times New Roman"/>
          <w:sz w:val="22"/>
          <w:szCs w:val="22"/>
        </w:rPr>
      </w:r>
      <w:bookmarkEnd w:id="374"/>
      <w:r>
        <w:rPr>
          <w:rFonts w:ascii="Times New Roman" w:hAnsi="Times New Roman" w:eastAsia="Times New Roman" w:cs="Times New Roman"/>
          <w:sz w:val="22"/>
          <w:szCs w:val="22"/>
        </w:rPr>
      </w:r>
      <w:bookmarkEnd w:id="375"/>
      <w:r>
        <w:rPr>
          <w:rFonts w:ascii="Times New Roman" w:hAnsi="Times New Roman" w:eastAsia="Times New Roman" w:cs="Times New Roman"/>
          <w:sz w:val="22"/>
          <w:szCs w:val="22"/>
        </w:rPr>
      </w:r>
      <w:bookmarkEnd w:id="376"/>
      <w:r>
        <w:rPr>
          <w:rFonts w:ascii="Times New Roman" w:hAnsi="Times New Roman" w:eastAsia="Times New Roman" w:cs="Times New Roman"/>
          <w:sz w:val="22"/>
          <w:szCs w:val="22"/>
        </w:rPr>
      </w:r>
      <w:bookmarkEnd w:id="446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47" w:name="_Toc64"/>
      <w:r>
        <w:rPr>
          <w:rFonts w:ascii="Times New Roman" w:hAnsi="Times New Roman" w:eastAsia="Times New Roman" w:cs="Times New Roman"/>
          <w:sz w:val="22"/>
          <w:szCs w:val="22"/>
        </w:rPr>
        <w:t xml:space="preserve">Порядок и критерии оценки и сопоставления заявок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447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Расчет итоговой оценки предпочтительности каждой заявки, успешно прошедшей отборочную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стадию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: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рассмотрение вторых частей заявок и ценовых предложений, рассмотрение дополнительных ценовых предложений – если проводилась переторжка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осуществляется по следующим критериям оценки и в соответствии со следующим порядком оценки предпочтительности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 сопоставления заявок: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numPr>
          <w:ilvl w:val="0"/>
          <w:numId w:val="0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148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418"/>
        <w:gridCol w:w="1417"/>
        <w:gridCol w:w="1134"/>
        <w:gridCol w:w="1843"/>
        <w:gridCol w:w="6549"/>
      </w:tblGrid>
      <w:tr>
        <w:tblPrEx/>
        <w:trPr>
          <w:cantSplit/>
        </w:trPr>
        <w:tc>
          <w:tcPr>
            <w:shd w:val="clear" w:color="ffffff" w:fill="d5dce4"/>
            <w:tcW w:w="1101" w:type="dxa"/>
            <w:vMerge w:val="restart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  <w:lang w:eastAsia="ru-RU"/>
              </w:rPr>
              <w:t xml:space="preserve">Номер критерия оценки в структуре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d5dce4"/>
            <w:tcW w:w="1417" w:type="dxa"/>
            <w:vMerge w:val="restart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  <w:lang w:eastAsia="ru-RU"/>
              </w:rPr>
              <w:t xml:space="preserve">Вид критерия оценки</w:t>
            </w:r>
            <w:r>
              <w:rPr>
                <w:sz w:val="20"/>
                <w:szCs w:val="20"/>
                <w:lang w:eastAsia="ru-RU"/>
              </w:rPr>
              <w:t xml:space="preserve"> / </w:t>
            </w:r>
            <w:r>
              <w:rPr>
                <w:sz w:val="20"/>
                <w:szCs w:val="20"/>
                <w:lang w:eastAsia="ru-RU"/>
              </w:rPr>
              <w:t xml:space="preserve">направление оценки заявок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d5dce4"/>
            <w:tcW w:w="2835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  <w:lang w:eastAsia="ru-RU"/>
              </w:rPr>
              <w:t xml:space="preserve">Наименование критерия оценки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d5dce4"/>
            <w:tcW w:w="1134" w:type="dxa"/>
            <w:vMerge w:val="restart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  <w:lang w:eastAsia="ru-RU"/>
              </w:rPr>
              <w:t xml:space="preserve">Значимость критерия оценки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d5dce4"/>
            <w:tcW w:w="1843" w:type="dxa"/>
            <w:vMerge w:val="restart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  <w:lang w:eastAsia="ru-RU"/>
              </w:rPr>
              <w:t xml:space="preserve">Содержание частного критерия оценки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d5dce4"/>
            <w:tcW w:w="6549" w:type="dxa"/>
            <w:vMerge w:val="restart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  <w:lang w:eastAsia="ru-RU"/>
              </w:rPr>
              <w:t xml:space="preserve">Расчет оценки предпочтительности заявки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shd w:val="clear" w:color="ffffff" w:fill="d5dce4"/>
            <w:tcW w:w="1101" w:type="dxa"/>
            <w:vMerge w:val="continue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shd w:val="clear" w:color="ffffff" w:fill="d5dce4"/>
            <w:tcW w:w="1417" w:type="dxa"/>
            <w:vMerge w:val="continue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shd w:val="clear" w:color="ffffff" w:fill="d5dce4"/>
            <w:tcW w:w="1418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  <w:lang w:eastAsia="ru-RU"/>
              </w:rPr>
              <w:t xml:space="preserve">критерий оценки первого уровня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d5dce4"/>
            <w:tcW w:w="1417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  <w:lang w:eastAsia="ru-RU"/>
              </w:rPr>
              <w:t xml:space="preserve">критерий оценки второго уровня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d5dce4"/>
            <w:tcW w:w="1134" w:type="dxa"/>
            <w:vMerge w:val="continue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shd w:val="clear" w:color="ffffff" w:fill="d5dce4"/>
            <w:tcW w:w="1843" w:type="dxa"/>
            <w:vMerge w:val="continue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  <w:tc>
          <w:tcPr>
            <w:shd w:val="clear" w:color="ffffff" w:fill="d5dce4"/>
            <w:tcW w:w="6549" w:type="dxa"/>
            <w:vMerge w:val="continue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  <w:r>
              <w:rPr>
                <w:sz w:val="18"/>
                <w:szCs w:val="18"/>
                <w:lang w:eastAsia="ru-RU"/>
              </w:rPr>
            </w:r>
          </w:p>
        </w:tc>
      </w:tr>
      <w:tr>
        <w:tblPrEx/>
        <w:trPr/>
        <w:tc>
          <w:tcPr>
            <w:tcW w:w="1101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  <w:lang w:eastAsia="ru-RU"/>
              </w:rPr>
              <w:t xml:space="preserve">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  <w:lang w:eastAsia="ru-RU"/>
              </w:rPr>
              <w:t xml:space="preserve">Ценовой (стоимостн</w:t>
            </w:r>
            <w:r>
              <w:rPr>
                <w:sz w:val="20"/>
                <w:szCs w:val="20"/>
                <w:lang w:eastAsia="ru-RU"/>
              </w:rPr>
              <w:t xml:space="preserve">ы</w:t>
            </w:r>
            <w:r>
              <w:rPr>
                <w:sz w:val="20"/>
                <w:szCs w:val="20"/>
                <w:lang w:eastAsia="ru-RU"/>
              </w:rPr>
              <w:t xml:space="preserve">й) частный критерий оценки первого уровня</w:t>
            </w:r>
            <w:r>
              <w:rPr>
                <w:sz w:val="20"/>
                <w:szCs w:val="20"/>
                <w:lang w:eastAsia="ru-RU"/>
              </w:rPr>
              <w:t xml:space="preserve"> / ЦЕНА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  <w:lang w:eastAsia="ru-RU"/>
              </w:rPr>
              <w:t xml:space="preserve">Цена договора</w:t>
            </w:r>
            <w:r>
              <w:rPr>
                <w:sz w:val="20"/>
                <w:szCs w:val="20"/>
                <w:lang w:eastAsia="ru-RU"/>
              </w:rPr>
              <w:t xml:space="preserve"> (заявки)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20"/>
                <w:szCs w:val="20"/>
                <w:lang w:eastAsia="ru-RU"/>
              </w:rPr>
              <w:t xml:space="preserve">отсутствует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90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%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br/>
              <w:t xml:space="preserve">(В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vertAlign w:val="subscript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= 0,90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  <w:lang w:eastAsia="ru-RU"/>
              </w:rPr>
              <w:t xml:space="preserve">Чем меньше цена </w:t>
            </w:r>
            <w:r>
              <w:rPr>
                <w:sz w:val="20"/>
                <w:szCs w:val="20"/>
                <w:lang w:eastAsia="ru-RU"/>
              </w:rPr>
              <w:t xml:space="preserve">заявки Участника</w:t>
            </w:r>
            <w:r>
              <w:rPr>
                <w:sz w:val="20"/>
                <w:szCs w:val="20"/>
                <w:lang w:eastAsia="ru-RU"/>
              </w:rPr>
              <w:t xml:space="preserve">, тем выше предпочтительность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6549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left"/>
              <w:spacing w:before="96" w:after="96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 xml:space="preserve">Расчет оценки предпочтительности по частному критерию по методу «Математическая формула, задающая «функцию ценности»»: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1233"/>
              <w:numPr>
                <w:ilvl w:val="6"/>
                <w:numId w:val="35"/>
              </w:numPr>
              <w:ind w:left="0" w:firstLine="0"/>
              <w:jc w:val="center"/>
              <w:spacing w:after="12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</w:r>
            <m:oMath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rPr>
                  <m:sty m:val="p"/>
                </m:rPr>
                <m:t> </m:t>
              </m:r>
              <m:sSub>
                <m:sSubPr>
                  <m:ctrlPr>
                    <w:rPr>
                      <w:rFonts w:ascii="Cambria Math" w:hAnsi="Cambria Math" w:eastAsia="Cambria Math" w:cs="Cambria Math"/>
                      <w:sz w:val="20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rPr/>
                    <m:t>Б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rPr/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rPr/>
                <m:t>=</m:t>
              </m:r>
              <m:f>
                <m:fPr>
                  <m:ctrlPr>
                    <w:rPr>
                      <w:rFonts w:ascii="Cambria Math" w:hAnsi="Cambria Math" w:eastAsia="Cambria Math" w:cs="Cambria Math"/>
                      <w:sz w:val="20"/>
                      <w:szCs w:val="24"/>
                      <w:lang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eastAsia="Cambria Math" w:cs="Cambria Math"/>
                          <w:sz w:val="20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rPr>
                          <m:sty m:val="p"/>
                        </m:rPr>
                        <m:t>ЦЕНА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 w:eastAsia="ru-RU"/>
                        </w:rPr>
                        <m:rPr>
                          <m:sty m:val="p"/>
                        </m:rPr>
                        <m:t>min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eastAsia="Cambria Math" w:cs="Cambria Math"/>
                          <w:i/>
                          <w:sz w:val="20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rPr/>
                        <m:t>ЦЕНА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 w:eastAsia="ru-RU"/>
                        </w:rPr>
                        <m:rPr/>
                        <m:t>i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rPr>
                  <m:sty m:val="p"/>
                </m:rPr>
                <m:t>×Ш,</m:t>
              </m:r>
            </m:oMath>
            <w:r>
              <w:rPr>
                <w:sz w:val="20"/>
                <w:szCs w:val="20"/>
                <w:lang w:eastAsia="ru-RU"/>
              </w:rPr>
              <w:fldChar w:fldCharType="begin"/>
            </w:r>
            <w:r>
              <w:rPr>
                <w:sz w:val="20"/>
                <w:szCs w:val="20"/>
                <w:lang w:eastAsia="ru-RU"/>
              </w:rPr>
              <w:instrText xml:space="preserve"> QUOTE </w:instrText>
            </w:r>
            <w:r>
              <w:rPr>
                <w:position w:val="-6"/>
                <w:sz w:val="20"/>
                <w:szCs w:val="20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009650" cy="295275"/>
                      <wp:effectExtent l="0" t="0" r="0" b="0"/>
                      <wp:docPr id="4" name="Рисунок 20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59216496" name="Рисунок 208"/>
                              <pic:cNvPicPr>
                                <a:picLocks noChangeArrowheads="1"/>
                              </pic:cNvPicPr>
                              <pic:nvPr/>
                            </pic:nvPicPr>
                            <pic:blipFill>
                              <a:blip r:embed="rId26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</a:blip>
                              <a:stretch/>
                            </pic:blipFill>
                            <pic:spPr bwMode="auto">
                              <a:xfrm>
                                <a:off x="0" y="0"/>
                                <a:ext cx="1009648" cy="29527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" o:spid="_x0000_s3" type="#_x0000_t75" style="width:79.50pt;height:23.25pt;mso-wrap-distance-left:0.00pt;mso-wrap-distance-top:0.00pt;mso-wrap-distance-right:0.00pt;mso-wrap-distance-bottom:0.00pt;" stroked="f">
                      <v:path textboxrect="0,0,0,0"/>
                      <v:imagedata r:id="rId26" o:title=""/>
                    </v:shape>
                  </w:pict>
                </mc:Fallback>
              </mc:AlternateContent>
            </w:r>
            <w:r>
              <w:rPr>
                <w:sz w:val="20"/>
                <w:szCs w:val="20"/>
                <w:lang w:eastAsia="ru-RU"/>
              </w:rPr>
              <w:instrText xml:space="preserve"> </w:instrText>
            </w:r>
            <w:r>
              <w:rPr>
                <w:sz w:val="20"/>
                <w:szCs w:val="20"/>
                <w:lang w:eastAsia="ru-RU"/>
              </w:rPr>
              <w:fldChar w:fldCharType="end"/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233"/>
              <w:numPr>
                <w:ilvl w:val="6"/>
                <w:numId w:val="35"/>
              </w:numPr>
              <w:ind w:left="0" w:firstLine="0"/>
              <w:jc w:val="left"/>
              <w:spacing w:before="96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где: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233"/>
              <w:numPr>
                <w:ilvl w:val="6"/>
                <w:numId w:val="35"/>
              </w:numPr>
              <w:ind w:left="0" w:firstLine="0"/>
              <w:jc w:val="left"/>
              <w:spacing w:before="0" w:line="240" w:lineRule="auto"/>
              <w:tabs>
                <w:tab w:val="left" w:pos="742" w:leader="none"/>
                <w:tab w:val="left" w:pos="11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vertAlign w:val="sub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ab/>
              <w:t xml:space="preserve">–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ab/>
              <w:t xml:space="preserve">рассчитанная оценка предпочтительности по данному частному критерию оценки в баллах;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ЦЕНА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vertAlign w:val="subscript"/>
                <w:lang w:val="en-US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  –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договора (заявки)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указанная в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-той заявке (в Коммерческом предложении по установленной в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Документации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 закупке форме)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допущенного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Участника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руб. без учета НДС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;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ЦЕНА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vertAlign w:val="subscript"/>
                <w:lang w:val="en-US"/>
              </w:rPr>
              <w:t xml:space="preserve">min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– минимальная цена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договора (заявки)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среди всех допущенных заявок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Участников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руб. без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учета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НДС;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233"/>
              <w:numPr>
                <w:ilvl w:val="6"/>
                <w:numId w:val="35"/>
              </w:numPr>
              <w:ind w:left="0" w:firstLine="0"/>
              <w:jc w:val="left"/>
              <w:spacing w:before="0" w:line="240" w:lineRule="auto"/>
              <w:tabs>
                <w:tab w:val="left" w:pos="742" w:leader="none"/>
                <w:tab w:val="left" w:pos="11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Ш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ab/>
              <w:t xml:space="preserve">–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ab/>
              <w:t xml:space="preserve">максимально возможный балл (максимальная возможная оценка предпочтительности) по шкале оценок (Ш = 5).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231"/>
              <w:numPr>
                <w:ilvl w:val="7"/>
                <w:numId w:val="35"/>
              </w:numPr>
              <w:ind w:left="0" w:firstLine="0"/>
              <w:jc w:val="left"/>
              <w:spacing w:before="96" w:after="96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Оценка предпочтительности заявок осуществляется в едином базисе сопоставления ценовых (стоимостных) предложений, установленном в документации о закупке: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без учета НДС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231"/>
              <w:numPr>
                <w:ilvl w:val="7"/>
                <w:numId w:val="35"/>
              </w:numPr>
              <w:ind w:left="0" w:firstLine="0"/>
              <w:jc w:val="left"/>
              <w:spacing w:before="96" w:after="96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Шкала оценок от 0 до 5 баллов.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1101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  <w:lang w:eastAsia="ru-RU"/>
              </w:rPr>
              <w:t xml:space="preserve">2.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231"/>
              <w:numPr>
                <w:ilvl w:val="0"/>
                <w:numId w:val="0"/>
              </w:numPr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  <w:lang w:eastAsia="ru-RU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  <w:lang w:eastAsia="ru-RU"/>
              </w:rPr>
              <w:t xml:space="preserve">Неценовой критерий оценки первого уровня</w:t>
            </w:r>
            <w:r>
              <w:rPr>
                <w:sz w:val="20"/>
                <w:szCs w:val="20"/>
                <w:lang w:eastAsia="ru-RU"/>
              </w:rPr>
              <w:t xml:space="preserve"> / ТЕХ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  <w:lang w:eastAsia="ru-RU"/>
              </w:rPr>
              <w:t xml:space="preserve">Квалификация (предпочти-тельность) </w:t>
            </w:r>
            <w:r>
              <w:rPr>
                <w:sz w:val="20"/>
                <w:szCs w:val="20"/>
                <w:lang w:eastAsia="ru-RU"/>
              </w:rPr>
              <w:t xml:space="preserve">У</w:t>
            </w:r>
            <w:r>
              <w:rPr>
                <w:sz w:val="20"/>
                <w:szCs w:val="20"/>
                <w:lang w:eastAsia="ru-RU"/>
              </w:rPr>
              <w:t xml:space="preserve">частника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i/>
                <w:sz w:val="20"/>
                <w:szCs w:val="20"/>
                <w:lang w:eastAsia="ru-RU"/>
              </w:rPr>
              <w:t xml:space="preserve">отсутствует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  <w:highlight w:val="none"/>
                <w:lang w:eastAsia="ru-RU"/>
              </w:rPr>
              <w:t xml:space="preserve">5 </w:t>
            </w:r>
            <w:r>
              <w:rPr>
                <w:sz w:val="20"/>
                <w:szCs w:val="20"/>
                <w:highlight w:val="none"/>
                <w:lang w:eastAsia="ru-RU"/>
              </w:rPr>
              <w:t xml:space="preserve">%</w:t>
            </w:r>
            <w:r>
              <w:rPr>
                <w:sz w:val="20"/>
                <w:szCs w:val="20"/>
                <w:highlight w:val="none"/>
                <w:lang w:eastAsia="ru-RU"/>
              </w:rPr>
              <w:br/>
              <w:t xml:space="preserve">(В</w:t>
            </w:r>
            <w:r>
              <w:rPr>
                <w:sz w:val="20"/>
                <w:szCs w:val="20"/>
                <w:highlight w:val="none"/>
                <w:vertAlign w:val="subscript"/>
                <w:lang w:eastAsia="ru-RU"/>
              </w:rPr>
              <w:t xml:space="preserve">2</w:t>
            </w:r>
            <w:r>
              <w:rPr>
                <w:sz w:val="20"/>
                <w:szCs w:val="20"/>
                <w:highlight w:val="none"/>
                <w:lang w:eastAsia="ru-RU"/>
              </w:rPr>
              <w:t xml:space="preserve"> = 0,05)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  <w:lang w:eastAsia="ru-RU"/>
              </w:rPr>
              <w:t xml:space="preserve">Чем больше опыт выполнения работ </w:t>
            </w:r>
            <w:r>
              <w:rPr>
                <w:sz w:val="20"/>
                <w:szCs w:val="20"/>
                <w:lang w:eastAsia="ru-RU"/>
              </w:rPr>
              <w:t xml:space="preserve">(</w:t>
            </w:r>
            <w:r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 </w:t>
            </w:r>
            <w:r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ремонту и/или замене участков стальных трубопроводов диаметром до 350 мм</w:t>
            </w:r>
            <w:r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) за последние 5 (пять) лет, предшествующих дате подачи заявки, тем выше предпочтительность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6549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6"/>
              </w:numPr>
              <w:spacing w:line="240" w:lineRule="auto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Расчет оценки предпочтительности по частному критерию по методу «Оценка предпочтительности посредством однозначной числовой шкалы измерений»: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pStyle w:val="1231"/>
              <w:numPr>
                <w:ilvl w:val="7"/>
                <w:numId w:val="36"/>
              </w:numPr>
              <w:spacing w:line="240" w:lineRule="auto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ля целей проведения оценки по данному критерию Участник должен предоставить в составе 2-ой части заявки (в Справке об опыте Участника по установленной в Документации о закупке форме) сведения о ранее исполненных договорах, подтверждающих наличие совокупног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опыта (в рамках одного или нескольких договоров) выполнения работ за последние 5 лет, предшествующих дате подачи заявки Участником, с учетом правоприемственности, с приложением следующих подтверждающих документов: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pStyle w:val="1231"/>
              <w:numPr>
                <w:ilvl w:val="7"/>
                <w:numId w:val="36"/>
              </w:numPr>
              <w:spacing w:line="240" w:lineRule="auto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    копии договоров, подписанных с обеих сторон и скрепленных печатью; 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pStyle w:val="1231"/>
              <w:numPr>
                <w:ilvl w:val="7"/>
                <w:numId w:val="36"/>
              </w:numPr>
              <w:spacing w:line="240" w:lineRule="auto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копии документов, предусмотренных требованиями договора, подтверждающих факт его исполнения, с указанием стоимости и наименования оказанных услуг, подписанных с обеих сторон. К рассмотрению не принимаются подтверждающие документы, не указанные в «Справке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 опыте Участника», а также сведения, не позволяющие явным (однозначным) образом определить опыт Участника: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pStyle w:val="1231"/>
              <w:numPr>
                <w:ilvl w:val="7"/>
                <w:numId w:val="36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Порядок осуществления оценки (значение оцениваемого параметра), в зависимости от предоставленных в i-ой заявке сведений о наличии у Участника совокупного опыта за последние 5 лет, на общую сумму: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tbl>
            <w:tblPr>
              <w:tblW w:w="727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6"/>
              <w:gridCol w:w="4676"/>
              <w:gridCol w:w="1603"/>
            </w:tblGrid>
            <w:tr>
              <w:tblPrEx/>
              <w:trPr>
                <w:cantSplit/>
                <w:gridAfter w:val="1"/>
                <w:trHeight w:val="271"/>
              </w:trPr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996" w:type="dxa"/>
                  <w:textDirection w:val="lrTb"/>
                  <w:noWrap w:val="false"/>
                </w:tcPr>
                <w:p>
                  <w:pPr>
                    <w:ind w:hanging="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Б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vertAlign w:val="subscript"/>
                    </w:rPr>
                    <w:t xml:space="preserve">2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= 0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676" w:type="dxa"/>
                  <w:textDirection w:val="lrTb"/>
                  <w:noWrap w:val="false"/>
                </w:tcPr>
                <w:p>
                  <w:pPr>
                    <w:ind w:firstLine="2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Опыт отсутствует/Не подтвержден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  <w:trHeight w:val="482"/>
              </w:trPr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996" w:type="dxa"/>
                  <w:textDirection w:val="lrTb"/>
                  <w:noWrap w:val="false"/>
                </w:tcPr>
                <w:p>
                  <w:pPr>
                    <w:ind w:hanging="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Б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vertAlign w:val="subscript"/>
                    </w:rPr>
                    <w:t xml:space="preserve">2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 = 1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6279" w:type="dxa"/>
                  <w:textDirection w:val="lrTb"/>
                  <w:noWrap w:val="false"/>
                </w:tcPr>
                <w:p>
                  <w:pPr>
                    <w:pStyle w:val="103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более 0% от НМЦ «без учета НДС»,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  <w:p>
                  <w:pPr>
                    <w:pStyle w:val="103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но менее 20% от НМЦ «без учета НДС»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  <w:p>
                  <w:pPr>
                    <w:pStyle w:val="103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(включительно)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  <w:gridAfter w:val="1"/>
                <w:trHeight w:val="482"/>
              </w:trPr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996" w:type="dxa"/>
                  <w:textDirection w:val="lrTb"/>
                  <w:noWrap w:val="false"/>
                </w:tcPr>
                <w:p>
                  <w:pPr>
                    <w:ind w:hanging="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Б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vertAlign w:val="subscript"/>
                    </w:rPr>
                    <w:t xml:space="preserve">2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= 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676" w:type="dxa"/>
                  <w:textDirection w:val="lrTb"/>
                  <w:noWrap w:val="false"/>
                </w:tcPr>
                <w:p>
                  <w:pPr>
                    <w:pStyle w:val="103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более 20% от НМЦ «без учета НДС»,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  <w:p>
                  <w:pPr>
                    <w:pStyle w:val="103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но менее 40% от НМЦ «без учета НДС»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  <w:p>
                  <w:pPr>
                    <w:pStyle w:val="103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(включительно)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  <w:gridAfter w:val="1"/>
                <w:trHeight w:val="299"/>
              </w:trPr>
              <w:tc>
                <w:tcPr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996" w:type="dxa"/>
                  <w:textDirection w:val="lrTb"/>
                  <w:noWrap w:val="false"/>
                </w:tcPr>
                <w:p>
                  <w:pPr>
                    <w:ind w:hanging="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Б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vertAlign w:val="subscript"/>
                    </w:rPr>
                    <w:t xml:space="preserve">2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=3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</w:tc>
              <w:tc>
                <w:tcPr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676" w:type="dxa"/>
                  <w:textDirection w:val="lrTb"/>
                  <w:noWrap w:val="false"/>
                </w:tcPr>
                <w:p>
                  <w:pPr>
                    <w:pStyle w:val="103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более 40% от НМЦ «без учета НДС»,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  <w:p>
                  <w:pPr>
                    <w:pStyle w:val="103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но менее 60% от НМЦ «без учета НДС»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  <w:p>
                  <w:pPr>
                    <w:pStyle w:val="103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(включительно)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  <w:gridAfter w:val="1"/>
                <w:trHeight w:val="299"/>
              </w:trPr>
              <w:tc>
                <w:tcPr>
                  <w:tcBorders>
                    <w:top w:val="single" w:color="000000" w:sz="8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996" w:type="dxa"/>
                  <w:textDirection w:val="lrTb"/>
                  <w:noWrap w:val="false"/>
                </w:tcPr>
                <w:p>
                  <w:pPr>
                    <w:ind w:hanging="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Б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vertAlign w:val="subscript"/>
                    </w:rPr>
                    <w:t xml:space="preserve">2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= 4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left w:val="none" w:color="000000" w:sz="4" w:space="0"/>
                    <w:bottom w:val="single" w:color="000000" w:sz="8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676" w:type="dxa"/>
                  <w:textDirection w:val="lrTb"/>
                  <w:noWrap w:val="false"/>
                </w:tcPr>
                <w:p>
                  <w:pPr>
                    <w:pStyle w:val="103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более 60% от НМЦ «без учета НДС»,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  <w:p>
                  <w:pPr>
                    <w:pStyle w:val="103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но менее 80% от НМЦ «без учета НДС»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  <w:p>
                  <w:pPr>
                    <w:ind w:firstLine="2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(включительно)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  <w:gridAfter w:val="1"/>
                <w:trHeight w:val="311"/>
              </w:trPr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996" w:type="dxa"/>
                  <w:textDirection w:val="lrTb"/>
                  <w:noWrap w:val="false"/>
                </w:tcPr>
                <w:p>
                  <w:pPr>
                    <w:ind w:hanging="7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Б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vertAlign w:val="subscript"/>
                    </w:rPr>
                    <w:t xml:space="preserve">2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= 5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676" w:type="dxa"/>
                  <w:textDirection w:val="lrTb"/>
                  <w:noWrap w:val="false"/>
                </w:tcPr>
                <w:p>
                  <w:pPr>
                    <w:ind w:firstLine="2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более 80% от НМЦ «без учета НДС» и выше;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</w:tc>
            </w:tr>
          </w:tbl>
          <w:p>
            <w:pPr>
              <w:keepNext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где: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0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НМЦ–начальная (максимальная) цена договора, установленная в документации о закупке;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0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vertAlign w:val="subscript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– рассчитанная оценка предпочтительности по данному критерию оценки в баллах.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0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Оцениваемый критерий -  сумма исполненных обязательств за последние 5 лет, предшествующих дате подачи заявки.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0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Опыт, несоответствующий предмету закупки, не оценивается.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0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Шкала оценок от 0 до 5 баллов.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231"/>
              <w:numPr>
                <w:ilvl w:val="7"/>
                <w:numId w:val="35"/>
              </w:numPr>
              <w:ind w:left="0" w:firstLine="0"/>
              <w:jc w:val="left"/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1101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</w:r>
            <w:bookmarkStart w:id="0" w:name="undefined"/>
            <w:r>
              <w:rPr>
                <w:sz w:val="20"/>
                <w:szCs w:val="20"/>
                <w:lang w:eastAsia="ru-RU"/>
              </w:rPr>
              <w:t xml:space="preserve">3.</w:t>
            </w:r>
            <w:bookmarkEnd w:id="0"/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  <w:lang w:eastAsia="ru-RU"/>
              </w:rPr>
              <w:t xml:space="preserve">Неценовой критерий оценки первого уровня</w:t>
            </w:r>
            <w:r>
              <w:rPr>
                <w:sz w:val="20"/>
                <w:szCs w:val="20"/>
                <w:lang w:eastAsia="ru-RU"/>
              </w:rPr>
              <w:t xml:space="preserve"> / ОРГ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</w:r>
            <w:bookmarkStart w:id="0" w:name="undefined"/>
            <w:r>
              <w:rPr>
                <w:rFonts w:eastAsia="Calibri"/>
                <w:sz w:val="20"/>
                <w:szCs w:val="20"/>
              </w:rPr>
              <w:t xml:space="preserve">Финансовое состояние (устойчивость) Участника</w:t>
            </w:r>
            <w:bookmarkEnd w:id="0"/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20"/>
                <w:szCs w:val="20"/>
                <w:lang w:eastAsia="ru-RU"/>
              </w:rPr>
              <w:t xml:space="preserve">отсутствует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  <w:lang w:eastAsia="ru-RU"/>
              </w:rPr>
              <w:t xml:space="preserve">5%</w:t>
            </w:r>
            <w:r>
              <w:rPr>
                <w:sz w:val="20"/>
                <w:szCs w:val="20"/>
                <w:lang w:eastAsia="ru-RU"/>
              </w:rPr>
              <w:br/>
              <w:t xml:space="preserve">(В</w:t>
            </w:r>
            <w:r>
              <w:rPr>
                <w:sz w:val="20"/>
                <w:szCs w:val="20"/>
                <w:vertAlign w:val="subscript"/>
                <w:lang w:eastAsia="ru-RU"/>
              </w:rPr>
              <w:t xml:space="preserve">3</w:t>
            </w:r>
            <w:r>
              <w:rPr>
                <w:sz w:val="20"/>
                <w:szCs w:val="20"/>
                <w:lang w:eastAsia="ru-RU"/>
              </w:rPr>
              <w:t xml:space="preserve"> = 0,05)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center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sz w:val="20"/>
                <w:szCs w:val="20"/>
              </w:rPr>
              <w:t xml:space="preserve">Чем выше </w:t>
            </w:r>
            <w:r>
              <w:rPr>
                <w:rFonts w:eastAsia="Calibri"/>
                <w:sz w:val="20"/>
                <w:szCs w:val="20"/>
              </w:rPr>
              <w:t xml:space="preserve">результат оценки финансового состояния (устойчивости)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 xml:space="preserve">У</w:t>
            </w:r>
            <w:r>
              <w:rPr>
                <w:rFonts w:eastAsia="Calibri"/>
                <w:sz w:val="20"/>
                <w:szCs w:val="20"/>
              </w:rPr>
              <w:t xml:space="preserve">частника, тем выше предпочтительность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6549" w:type="dxa"/>
            <w:textDirection w:val="lrTb"/>
            <w:noWrap w:val="false"/>
          </w:tcPr>
          <w:p>
            <w:pPr>
              <w:numPr>
                <w:ilvl w:val="7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numPr>
                <w:ilvl w:val="7"/>
                <w:numId w:val="0"/>
              </w:num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Порядок осуществления оценки (значение оцениваемого параметра), в зависимости от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полученного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Участником (с 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lang w:val="en-US" w:eastAsia="ru-RU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заяв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кой) значения расчетного балла </w:t>
            </w:r>
            <w:bookmarkStart w:id="0" w:name="undefine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интегрального показателя финансового состояния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)</w:t>
            </w:r>
            <w:bookmarkEnd w:id="0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и установленной соответствующей характеристи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его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финансового состояния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кризисное / неустойчивое / удовлетворительное)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по результатам проведенной в рамках аккредитации оценки его финансового состояния (устойчивости), при этом: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numPr>
                <w:ilvl w:val="0"/>
                <w:numId w:val="34"/>
              </w:numPr>
              <w:ind w:left="346" w:hanging="284"/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порядок проведения оценки финансового состояния (устойчивости)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Участника</w:t>
            </w:r>
            <w:r>
              <w:rPr>
                <w:rStyle w:val="1195"/>
                <w:rFonts w:ascii="Times New Roman" w:hAnsi="Times New Roman" w:eastAsia="Times New Roman" w:cs="Times New Roman"/>
                <w:sz w:val="20"/>
                <w:szCs w:val="20"/>
              </w:rPr>
              <w:footnoteReference w:id="15"/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установлен Приложением 5 к Положению об аккредитации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;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numPr>
                <w:ilvl w:val="0"/>
                <w:numId w:val="34"/>
              </w:numPr>
              <w:ind w:left="346" w:hanging="284"/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исходными данными для расчета интегрального показателя финансового состояния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являются сведения, представленные в опубликованной в государственном информационном ресурсе бухгалтерской (финансовой) отчетности организаций (</w:t>
            </w:r>
            <w:hyperlink r:id="rId27" w:tooltip="https://bo.nalog.ru" w:history="1">
              <w:r>
                <w:rPr>
                  <w:rStyle w:val="1197"/>
                  <w:rFonts w:ascii="Times New Roman" w:hAnsi="Times New Roman" w:eastAsia="Times New Roman" w:cs="Times New Roman"/>
                  <w:sz w:val="20"/>
                  <w:szCs w:val="20"/>
                </w:rPr>
                <w:t xml:space="preserve">https://bo.nalog.ru</w:t>
              </w:r>
            </w:hyperlink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) за предыдущий отчетный период (год).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346"/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сли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Участник в соответствии с законодательством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РФ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не размещает све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дения о своей бухгалтерской (финансовой) отчетности в упомянутом государственном информационном ресурсе – оценка его финансового состояния производится на основании электронной копии бухгалтерской отчетности, представленной в составе Заявки на аккредитацию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(или отдельно в составе заявки на участие в закупке, если ранее при прохождении аккредитации не были представлены);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numPr>
                <w:ilvl w:val="0"/>
                <w:numId w:val="34"/>
              </w:numPr>
              <w:ind w:left="346" w:hanging="284"/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оценки предпочтительности по частному критерию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осуществляется в соответствии со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ш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кал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tbl>
            <w:tblPr>
              <w:tblW w:w="6412" w:type="dxa"/>
              <w:tblBorders>
                <w:insideH w:val="single" w:color="000000" w:sz="4" w:space="0"/>
                <w:insideV w:val="single" w:color="000000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4"/>
              <w:gridCol w:w="5528"/>
            </w:tblGrid>
            <w:tr>
              <w:tblPrEx/>
              <w:trPr>
                <w:cantSplit/>
              </w:trPr>
              <w:tc>
                <w:tcPr>
                  <w:tcBorders>
                    <w:bottom w:val="single" w:color="000000" w:sz="4" w:space="0"/>
                    <w:right w:val="single" w:color="000000" w:sz="4" w:space="0"/>
                  </w:tcBorders>
                  <w:tcW w:w="884" w:type="dxa"/>
                  <w:textDirection w:val="lrTb"/>
                  <w:noWrap w:val="false"/>
                </w:tcPr>
                <w:p>
                  <w:pPr>
                    <w:pStyle w:val="1231"/>
                    <w:numPr>
                      <w:ilvl w:val="7"/>
                      <w:numId w:val="35"/>
                    </w:numPr>
                    <w:ind w:left="0" w:firstLine="0"/>
                    <w:jc w:val="center"/>
                    <w:spacing w:before="40" w:after="4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Б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vertAlign w:val="subscript"/>
                      <w:lang w:eastAsia="ru-RU"/>
                    </w:rPr>
                    <w:t xml:space="preserve">3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 = 0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5528" w:type="dxa"/>
                  <w:textDirection w:val="lrTb"/>
                  <w:noWrap w:val="false"/>
                </w:tcPr>
                <w:p>
                  <w:pPr>
                    <w:numPr>
                      <w:ilvl w:val="7"/>
                      <w:numId w:val="0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Результат оценки финансового состояния (устойчивости):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менее 0,45 балл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а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–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Кризисное финансовое состояние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;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  <w:p>
                  <w:pPr>
                    <w:numPr>
                      <w:ilvl w:val="7"/>
                      <w:numId w:val="0"/>
                    </w:num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i/>
                      <w:iCs/>
                      <w:sz w:val="20"/>
                      <w:szCs w:val="20"/>
                    </w:rPr>
                    <w:t xml:space="preserve">или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r>
                </w:p>
                <w:p>
                  <w:pPr>
                    <w:numPr>
                      <w:ilvl w:val="7"/>
                      <w:numId w:val="0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в случае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 отсутстви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я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 исходных данных для оценки финансового состояния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 Участника, в том числе если он является: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  <w:p>
                  <w:pPr>
                    <w:pStyle w:val="1232"/>
                    <w:numPr>
                      <w:ilvl w:val="4"/>
                      <w:numId w:val="35"/>
                    </w:numPr>
                    <w:ind w:left="209" w:hanging="209"/>
                    <w:jc w:val="left"/>
                    <w:spacing w:before="40" w:after="4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вновь созданным юридическим лицом, которое на дату подачи заявки на участие в закупке в соответствии с законодательством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 РФ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 не предоставил в налоговые органы бухгалтерскую (финансовую) отчетность за завершенный финансовый год;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  <w:p>
                  <w:pPr>
                    <w:pStyle w:val="1232"/>
                    <w:numPr>
                      <w:ilvl w:val="4"/>
                      <w:numId w:val="35"/>
                    </w:numPr>
                    <w:ind w:left="209" w:hanging="209"/>
                    <w:jc w:val="left"/>
                    <w:spacing w:before="40" w:after="4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физическ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им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 лиц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ом (индивидуальным предпринимателем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и/или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применяющи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м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 специальный налоговый режим «Налог на профессиональный доход»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),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не ведущ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им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 бухгалтерскую (финансовую) отчетность;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</w:trPr>
              <w:tc>
                <w:tcPr>
                  <w:tcBorders>
                    <w:top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84" w:type="dxa"/>
                  <w:textDirection w:val="lrTb"/>
                  <w:noWrap w:val="false"/>
                </w:tcPr>
                <w:p>
                  <w:pPr>
                    <w:pStyle w:val="1231"/>
                    <w:numPr>
                      <w:ilvl w:val="7"/>
                      <w:numId w:val="35"/>
                    </w:numPr>
                    <w:ind w:left="0" w:firstLine="0"/>
                    <w:jc w:val="center"/>
                    <w:spacing w:before="40" w:after="4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Б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vertAlign w:val="subscript"/>
                      <w:lang w:eastAsia="ru-RU"/>
                    </w:rPr>
                    <w:t xml:space="preserve">3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 =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3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tcW w:w="5528" w:type="dxa"/>
                  <w:textDirection w:val="lrTb"/>
                  <w:noWrap w:val="false"/>
                </w:tcPr>
                <w:p>
                  <w:pPr>
                    <w:pStyle w:val="1232"/>
                    <w:numPr>
                      <w:ilvl w:val="0"/>
                      <w:numId w:val="0"/>
                    </w:numPr>
                    <w:jc w:val="left"/>
                    <w:spacing w:before="40" w:after="4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Результат оценки финансового состояния (устойчивости):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от 0,45 балл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а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 включительно до 0,90 балл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а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 включительно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 –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 Неустойчивое финансовое состояние;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</w:trPr>
              <w:tc>
                <w:tcPr>
                  <w:tcBorders>
                    <w:top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84" w:type="dxa"/>
                  <w:textDirection w:val="lrTb"/>
                  <w:noWrap w:val="false"/>
                </w:tcPr>
                <w:p>
                  <w:pPr>
                    <w:pStyle w:val="1231"/>
                    <w:numPr>
                      <w:ilvl w:val="7"/>
                      <w:numId w:val="35"/>
                    </w:numPr>
                    <w:ind w:left="0" w:firstLine="0"/>
                    <w:jc w:val="center"/>
                    <w:spacing w:before="40" w:after="4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Б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vertAlign w:val="subscript"/>
                      <w:lang w:eastAsia="ru-RU"/>
                    </w:rPr>
                    <w:t xml:space="preserve">3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 =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5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tcW w:w="5528" w:type="dxa"/>
                  <w:textDirection w:val="lrTb"/>
                  <w:noWrap w:val="false"/>
                </w:tcPr>
                <w:p>
                  <w:pPr>
                    <w:pStyle w:val="1232"/>
                    <w:numPr>
                      <w:ilvl w:val="0"/>
                      <w:numId w:val="0"/>
                    </w:numPr>
                    <w:jc w:val="left"/>
                    <w:spacing w:before="40" w:after="4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Результат оценки финансового состояния (устойчивости): б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олее 0,90 балл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а –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 Удовлетворительное финансовое состояние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.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</w:p>
              </w:tc>
            </w:tr>
          </w:tbl>
          <w:p>
            <w:pPr>
              <w:pStyle w:val="1233"/>
              <w:numPr>
                <w:ilvl w:val="6"/>
                <w:numId w:val="35"/>
              </w:numPr>
              <w:ind w:left="0" w:firstLine="0"/>
              <w:jc w:val="left"/>
              <w:spacing w:before="96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где: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233"/>
              <w:numPr>
                <w:ilvl w:val="6"/>
                <w:numId w:val="35"/>
              </w:numPr>
              <w:ind w:left="349" w:hanging="349"/>
              <w:jc w:val="left"/>
              <w:spacing w:before="0" w:line="240" w:lineRule="auto"/>
              <w:tabs>
                <w:tab w:val="left" w:pos="742" w:leader="none"/>
                <w:tab w:val="left" w:pos="11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vertAlign w:val="subscript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ab/>
              <w:t xml:space="preserve">–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ab/>
              <w:t xml:space="preserve">рассчитанная оценка предпочтительности по данному частному критерию оценки в баллах.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234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В случае участия в закупке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енерального подрядчика – балл по данному критерию присваивается исходя из оценки финансового состояния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енерального подрядчика без учета субподрядчиков.</w:t>
            </w:r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231"/>
              <w:numPr>
                <w:ilvl w:val="7"/>
                <w:numId w:val="35"/>
              </w:numPr>
              <w:ind w:left="0" w:firstLine="0"/>
              <w:jc w:val="left"/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В случае участия в закупке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оллективного участника – балл по данному критерию присваивается исходя из средневзвешенной оценки финансового состояния всех членов такого коллективного участника, где весовая значимость показателя финансового состояния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(устойчивости)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каждого члена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оллективного участника определяется на основ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объем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а (объемной доли)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поставляемой им продукции согласно Плану распределения объемов поставки продукции (форма №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, приведена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в Приложении № 4 к Документации о закупке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231"/>
              <w:numPr>
                <w:ilvl w:val="7"/>
                <w:numId w:val="35"/>
              </w:numPr>
              <w:ind w:left="0" w:firstLine="0"/>
              <w:jc w:val="left"/>
              <w:spacing w:before="96" w:after="96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Шкала оценок от 0 до 5 баллов.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gridSpan w:val="4"/>
            <w:tcW w:w="5353" w:type="dxa"/>
            <w:textDirection w:val="lrTb"/>
            <w:noWrap w:val="false"/>
          </w:tcPr>
          <w:p>
            <w:pPr>
              <w:pStyle w:val="1231"/>
              <w:numPr>
                <w:ilvl w:val="7"/>
                <w:numId w:val="35"/>
              </w:numPr>
              <w:ind w:left="0" w:firstLine="0"/>
              <w:jc w:val="right"/>
              <w:spacing w:before="40" w:after="4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  <w:lang w:eastAsia="ru-RU"/>
              </w:rPr>
              <w:t xml:space="preserve">Итоговая оценка предпочтительности заявки: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9526" w:type="dxa"/>
            <w:textDirection w:val="lrTb"/>
            <w:noWrap w:val="false"/>
          </w:tcPr>
          <w:p>
            <w:pPr>
              <w:pStyle w:val="10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Расчет итоговой оценки предпочтительности 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-ой заявки: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0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0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eastAsia="Cambria Math" w:cs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hint="default" w:ascii="Cambria Math" w:hAnsi="Cambria Math" w:eastAsia="Cambria Math" w:cs="Cambria Math"/>
                        <w:sz w:val="20"/>
                        <w:szCs w:val="20"/>
                      </w:rPr>
                      <m:rPr/>
                      <m:t>Б</m:t>
                    </m:r>
                  </m:e>
                  <m:sub>
                    <m:r>
                      <w:rPr>
                        <w:rFonts w:hint="default" w:ascii="Cambria Math" w:hAnsi="Cambria Math" w:eastAsia="Cambria Math" w:cs="Cambria Math"/>
                        <w:sz w:val="20"/>
                        <w:szCs w:val="20"/>
                      </w:rPr>
                      <m:rPr/>
                      <m:t>ИТОГ</m:t>
                    </m:r>
                  </m:sub>
                </m:sSub>
                <m:r>
                  <w:rPr>
                    <w:rFonts w:hint="default" w:ascii="Cambria Math" w:hAnsi="Cambria Math" w:eastAsia="Cambria Math" w:cs="Cambria Math"/>
                    <w:sz w:val="20"/>
                    <w:szCs w:val="20"/>
                  </w:rPr>
                  <m:rPr/>
                  <m:t>=</m:t>
                </m:r>
                <m:nary>
                  <m:naryPr>
                    <m:chr m:val="∑"/>
                    <m:grow m:val="off"/>
                    <m:limLoc m:val="undOvr"/>
                    <m:subHide m:val="on"/>
                    <m:supHide m:val="on"/>
                    <m:ctrlPr>
                      <w:rPr>
                        <w:rFonts w:ascii="Cambria Math" w:hAnsi="Cambria Math" w:eastAsia="Cambria Math" w:cs="Cambria Math"/>
                        <w:i/>
                        <w:sz w:val="20"/>
                        <w:szCs w:val="20"/>
                      </w:rPr>
                    </m:ctrlPr>
                  </m:naryPr>
                  <m:sub/>
                  <m:sup/>
                  <m:e>
                    <m:d>
                      <m:dPr>
                        <m:ctrlPr>
                          <w:rPr>
                            <w:rFonts w:ascii="Cambria Math" w:hAnsi="Cambria Math" w:eastAsia="Cambria Math" w:cs="Cambria Math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eastAsia="Cambria Math" w:cs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hint="default" w:ascii="Cambria Math" w:hAnsi="Cambria Math" w:eastAsia="Cambria Math" w:cs="Cambria Math"/>
                                <w:sz w:val="20"/>
                                <w:szCs w:val="20"/>
                              </w:rPr>
                              <m:rPr/>
                              <m:t>Б</m:t>
                            </m:r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hAnsi="Cambria Math" w:eastAsia="Cambria Math" w:cs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hint="default" w:ascii="Cambria Math" w:hAnsi="Cambria Math" w:eastAsia="Cambria Math" w:cs="Cambria Math"/>
                                    <w:sz w:val="20"/>
                                    <w:szCs w:val="20"/>
                                  </w:rPr>
                                  <m:rPr/>
                                  <m:t>1 уровень</m:t>
                                </m:r>
                              </m:e>
                              <m:sub>
                                <m:r>
                                  <w:rPr>
                                    <w:rFonts w:hint="default" w:ascii="Cambria Math" w:hAnsi="Cambria Math" w:eastAsia="Cambria Math" w:cs="Cambria Math"/>
                                    <w:sz w:val="20"/>
                                    <w:szCs w:val="20"/>
                                    <w:lang w:val="en-US"/>
                                  </w:rPr>
                                  <m:rPr/>
                                  <m:t>k</m:t>
                                </m:r>
                              </m:sub>
                            </m:sSub>
                          </m:sub>
                        </m:sSub>
                        <m:r>
                          <w:rPr>
                            <w:rFonts w:hint="default" w:ascii="Cambria Math" w:hAnsi="Cambria Math" w:eastAsia="Cambria Math" w:cs="Cambria Math"/>
                            <w:sz w:val="20"/>
                            <w:szCs w:val="20"/>
                          </w:rPr>
                          <m:rPr/>
                          <m:t>×</m:t>
                        </m:r>
                        <m:sSub>
                          <m:sSubPr>
                            <m:ctrlPr>
                              <w:rPr>
                                <w:rFonts w:ascii="Cambria Math" w:hAnsi="Cambria Math" w:eastAsia="Cambria Math" w:cs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hint="default" w:ascii="Cambria Math" w:hAnsi="Cambria Math" w:eastAsia="Cambria Math" w:cs="Cambria Math"/>
                                <w:sz w:val="20"/>
                                <w:szCs w:val="20"/>
                              </w:rPr>
                              <m:rPr/>
                              <m:t>В</m:t>
                            </m:r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hAnsi="Cambria Math" w:eastAsia="Cambria Math" w:cs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hint="default" w:ascii="Cambria Math" w:hAnsi="Cambria Math" w:eastAsia="Cambria Math" w:cs="Cambria Math"/>
                                    <w:sz w:val="20"/>
                                    <w:szCs w:val="20"/>
                                  </w:rPr>
                                  <m:rPr/>
                                  <m:t>1 уровень</m:t>
                                </m:r>
                              </m:e>
                              <m:sub>
                                <m:r>
                                  <w:rPr>
                                    <w:rFonts w:hint="default" w:ascii="Cambria Math" w:hAnsi="Cambria Math" w:eastAsia="Cambria Math" w:cs="Cambria Math"/>
                                    <w:sz w:val="20"/>
                                    <w:szCs w:val="20"/>
                                    <w:lang w:val="en-US"/>
                                  </w:rPr>
                                  <m:rPr/>
                                  <m:t>k</m:t>
                                </m:r>
                              </m:sub>
                            </m:sSub>
                          </m:sub>
                        </m:sSub>
                      </m:e>
                    </m:d>
                  </m:e>
                </m:nary>
                <m:r>
                  <w:rPr>
                    <w:rFonts w:hint="default" w:ascii="Cambria Math" w:hAnsi="Cambria Math" w:eastAsia="Cambria Math" w:cs="Cambria Math"/>
                    <w:sz w:val="20"/>
                    <w:szCs w:val="20"/>
                  </w:rPr>
                  <m:rPr/>
                  <m:t>,</m:t>
                </m:r>
              </m:oMath>
            </m:oMathPara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0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где: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0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vertAlign w:val="subscript"/>
              </w:rPr>
              <w:t xml:space="preserve">ИТОГ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ab/>
              <w:t xml:space="preserve">–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ab/>
              <w:t xml:space="preserve">рассчитанная итоговая оценка предпочтительности в баллах;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0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vertAlign w:val="subscript"/>
              </w:rPr>
              <w:t xml:space="preserve">1 уровень k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ab/>
              <w:t xml:space="preserve">–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ab/>
              <w:t xml:space="preserve">оценка предпочтительности по k-тому критерию оценки первого уровня в баллах;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0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vertAlign w:val="subscript"/>
              </w:rPr>
              <w:t xml:space="preserve">1 уровень k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ab/>
              <w:t xml:space="preserve">–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ab/>
              <w:t xml:space="preserve">значимость k-ого критерия оценки первого уровня, выраженная в диапазоне от 1% до 100% (или от 0,01 до 1,00) – вес k-ого критерия оценки первого уровня.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0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Расчет значений баллов по частным / обобщенным критериям оценки, а также итогового балла (итоговой оценки предпочтительности) производится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четвертого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 знака после запятой (в соответствии с математическими правилами округления)</w:t>
            </w: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pStyle w:val="1183"/>
        <w:numPr>
          <w:ilvl w:val="0"/>
          <w:numId w:val="0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Итоговая оц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енка предпочтительности заявки формируется путем взвешенного суммирования (суммирования в баллах, умноженных на соответствующий коэффициент значимости критерия), производимого в рамках критериев одного уровня. Общая значимость всех критериев одного уровня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на одной ветке иерархии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составляет 100%. Вычисление оценки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предпочтительности по каждому критерию и итоговой оценки предпочтительности заявки производится с точностью до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десятитысячных балла.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В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установленных случаях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оценка и сопоставление заявок производится с учетом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предоставления национального режима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соответствии с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порядк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предусмотренном подразделом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REF _Ref132816300 \r \h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4.20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Заявки участников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из числа успешно прошедших отборочную стадию рассмотрения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вторых частей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заявок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и ценовых предложений (дополнительных ценовых предложений – если проводилась переторжка)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ранжируются по количеству набранных баллов (от наибольшего к наименьшему), присвоенных заявкам по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результатам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оценки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rPr>
          <w:rFonts w:ascii="Times New Roman" w:hAnsi="Times New Roman" w:cs="Times New Roman"/>
          <w:sz w:val="22"/>
          <w:szCs w:val="22"/>
        </w:rPr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48" w:name="_Toc65"/>
      <w:r>
        <w:rPr>
          <w:rFonts w:ascii="Times New Roman" w:hAnsi="Times New Roman" w:eastAsia="Times New Roman" w:cs="Times New Roman"/>
          <w:sz w:val="22"/>
          <w:szCs w:val="22"/>
        </w:rPr>
      </w:r>
      <w:bookmarkStart w:id="379" w:name="Прил09_ОбоснованиеНМЦ"/>
      <w:r>
        <w:rPr>
          <w:rFonts w:ascii="Times New Roman" w:hAnsi="Times New Roman" w:eastAsia="Times New Roman" w:cs="Times New Roman"/>
          <w:sz w:val="22"/>
          <w:szCs w:val="22"/>
        </w:rPr>
      </w:r>
      <w:bookmarkStart w:id="380" w:name="_Ref125360420"/>
      <w:r>
        <w:rPr>
          <w:rFonts w:ascii="Times New Roman" w:hAnsi="Times New Roman" w:eastAsia="Times New Roman" w:cs="Times New Roman"/>
          <w:sz w:val="22"/>
          <w:szCs w:val="22"/>
        </w:rPr>
      </w:r>
      <w:bookmarkEnd w:id="379"/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9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Обоснование НМЦ</w:t>
      </w:r>
      <w:bookmarkEnd w:id="380"/>
      <w:r>
        <w:rPr>
          <w:rFonts w:ascii="Times New Roman" w:hAnsi="Times New Roman" w:eastAsia="Times New Roman" w:cs="Times New Roman"/>
          <w:sz w:val="22"/>
          <w:szCs w:val="22"/>
        </w:rPr>
      </w:r>
      <w:bookmarkEnd w:id="448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49" w:name="_Toc66"/>
      <w:r>
        <w:rPr>
          <w:rFonts w:ascii="Times New Roman" w:hAnsi="Times New Roman" w:eastAsia="Times New Roman" w:cs="Times New Roman"/>
          <w:sz w:val="22"/>
          <w:szCs w:val="22"/>
        </w:rPr>
        <w:t xml:space="preserve">Пояснения к Обоснованию НМЦ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449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Обоснование НМЦ приведено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 отдельном файле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(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предоставляется отдельным документом в составе Документации о закупке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, являющимся Приложением №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9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к Документации о закупке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50" w:name="_Toc67"/>
      <w:r>
        <w:rPr>
          <w:rFonts w:ascii="Times New Roman" w:hAnsi="Times New Roman" w:eastAsia="Times New Roman" w:cs="Times New Roman"/>
          <w:sz w:val="22"/>
          <w:szCs w:val="22"/>
        </w:rPr>
      </w:r>
      <w:bookmarkStart w:id="383" w:name="Прил10_ФормаЗаявкиНаАккредитацию"/>
      <w:r>
        <w:rPr>
          <w:rFonts w:ascii="Times New Roman" w:hAnsi="Times New Roman" w:eastAsia="Times New Roman" w:cs="Times New Roman"/>
          <w:sz w:val="22"/>
          <w:szCs w:val="22"/>
        </w:rPr>
      </w:r>
      <w:bookmarkEnd w:id="383"/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 1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0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– Форма Заявки на аккредитацию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450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51" w:name="_Toc68"/>
      <w:r>
        <w:rPr>
          <w:rFonts w:ascii="Times New Roman" w:hAnsi="Times New Roman" w:eastAsia="Times New Roman" w:cs="Times New Roman"/>
          <w:sz w:val="22"/>
          <w:szCs w:val="22"/>
        </w:rPr>
        <w:t xml:space="preserve">Пояснения к форме Заявки на аккредитацию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451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Форма Заявки на аккредитацию приведена в отдельном файле (предоставляется отдельным документом в составе Документации о закупке), являющимся Приложением №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 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1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0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к Документации о закупке.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87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71550" cy="619125"/>
                <wp:effectExtent l="0" t="0" r="0" b="0"/>
                <wp:docPr id="5" name="_x0000_i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8">
                          <a:extLst>
                            <a:ext uri="{96DAC541-7B7A-43D3-8B79-37D633B846F1}">
                              <asvg:svgBlip xmlns:asvg="http://schemas.microsoft.com/office/drawing/2016/SVG/main" r:embed="rId29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9715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76.50pt;height:48.75pt;mso-wrap-distance-left:0.00pt;mso-wrap-distance-top:0.00pt;mso-wrap-distance-right:0.00pt;mso-wrap-distance-bottom:0.00pt;" stroked="f">
                <v:path textboxrect="0,0,0,0"/>
                <v:imagedata r:id="rId2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sectPr>
      <w:footnotePr/>
      <w:endnotePr/>
      <w:type w:val="nextPage"/>
      <w:pgSz w:w="11906" w:h="16838" w:orient="portrait"/>
      <w:pgMar w:top="851" w:right="850" w:bottom="851" w:left="1134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803050406030204"/>
  </w:font>
  <w:font w:name="Geneva">
    <w:panose1 w:val="02000603000000000000"/>
  </w:font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9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13905730"/>
      <w:docPartObj>
        <w:docPartGallery w:val="Page Numbers (Bottom of Page)"/>
        <w:docPartUnique w:val="true"/>
      </w:docPartObj>
      <w:rPr/>
    </w:sdtPr>
    <w:sdtContent>
      <w:p>
        <w:pPr>
          <w:pStyle w:val="1190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196"/>
        <w:rPr>
          <w:sz w:val="18"/>
          <w:szCs w:val="18"/>
        </w:rPr>
      </w:pPr>
      <w:r>
        <w:rPr>
          <w:rStyle w:val="1195"/>
        </w:rPr>
        <w:footnoteRef/>
      </w:r>
      <w:r>
        <w:tab/>
      </w:r>
      <w:r>
        <w:rPr>
          <w:sz w:val="18"/>
          <w:szCs w:val="18"/>
        </w:rPr>
        <w:t xml:space="preserve">Определенные в соответствии с </w:t>
      </w:r>
      <w:r>
        <w:rPr>
          <w:sz w:val="18"/>
          <w:szCs w:val="18"/>
        </w:rPr>
        <w:t xml:space="preserve">Законом</w:t>
      </w:r>
      <w:r>
        <w:rPr>
          <w:sz w:val="18"/>
          <w:szCs w:val="18"/>
        </w:rPr>
        <w:t xml:space="preserve"> </w:t>
      </w:r>
      <w:r>
        <w:rPr>
          <w:sz w:val="18"/>
          <w:szCs w:val="18"/>
        </w:rPr>
        <w:t xml:space="preserve">422-ФЗ.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3">
    <w:p>
      <w:pPr>
        <w:pStyle w:val="1196"/>
        <w:rPr>
          <w:sz w:val="22"/>
          <w:szCs w:val="22"/>
        </w:rPr>
      </w:pPr>
      <w:r>
        <w:rPr>
          <w:rStyle w:val="1195"/>
        </w:rPr>
        <w:footnoteRef/>
      </w:r>
      <w:r>
        <w:tab/>
      </w:r>
      <w:r>
        <w:rPr>
          <w:sz w:val="18"/>
          <w:szCs w:val="18"/>
        </w:rPr>
        <w:t xml:space="preserve">При э</w:t>
      </w:r>
      <w:r>
        <w:rPr>
          <w:sz w:val="18"/>
          <w:szCs w:val="18"/>
        </w:rPr>
        <w:t xml:space="preserve">том отклонение заявки за </w:t>
      </w:r>
      <w:r>
        <w:rPr>
          <w:sz w:val="18"/>
          <w:szCs w:val="18"/>
        </w:rPr>
        <w:t xml:space="preserve">отсутствие в ней документов, требующихся исключительно для</w:t>
      </w:r>
      <w:r>
        <w:rPr>
          <w:sz w:val="18"/>
          <w:szCs w:val="18"/>
        </w:rPr>
        <w:t xml:space="preserve"> </w:t>
      </w:r>
      <w:r>
        <w:rPr>
          <w:sz w:val="18"/>
          <w:szCs w:val="18"/>
        </w:rPr>
        <w:t xml:space="preserve">целей оценки и сопоставления заявок (подраздел </w:t>
      </w:r>
      <w:r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REF _Ref125362626 \w \h </w:instrText>
      </w:r>
      <w:r>
        <w:rPr>
          <w:sz w:val="18"/>
          <w:szCs w:val="18"/>
        </w:rPr>
        <w:instrText xml:space="preserve"> \* MERGEFORMAT </w:instrText>
      </w:r>
      <w:r>
        <w:rPr>
          <w:sz w:val="18"/>
          <w:szCs w:val="18"/>
        </w:rPr>
        <w:fldChar w:fldCharType="separate"/>
      </w:r>
      <w:r>
        <w:rPr>
          <w:sz w:val="18"/>
          <w:szCs w:val="18"/>
        </w:rPr>
        <w:t xml:space="preserve">4.13</w:t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  <w:t xml:space="preserve">), не допускается.</w:t>
      </w:r>
      <w:r>
        <w:rPr>
          <w:sz w:val="22"/>
          <w:szCs w:val="22"/>
        </w:rPr>
      </w:r>
      <w:r>
        <w:rPr>
          <w:sz w:val="22"/>
          <w:szCs w:val="22"/>
        </w:rPr>
      </w:r>
    </w:p>
  </w:footnote>
  <w:footnote w:id="4">
    <w:p>
      <w:pPr>
        <w:pStyle w:val="1196"/>
      </w:pPr>
      <w:r>
        <w:rPr>
          <w:rStyle w:val="1195"/>
        </w:rPr>
        <w:footnoteRef/>
      </w:r>
      <w:r>
        <w:tab/>
      </w:r>
      <w:r>
        <w:rPr>
          <w:sz w:val="18"/>
          <w:szCs w:val="18"/>
        </w:rPr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5">
    <w:p>
      <w:pPr>
        <w:pStyle w:val="1196"/>
        <w:rPr>
          <w:sz w:val="18"/>
          <w:szCs w:val="18"/>
        </w:rPr>
      </w:pPr>
      <w:r>
        <w:rPr>
          <w:rStyle w:val="1195"/>
        </w:rPr>
        <w:footnoteRef/>
      </w:r>
      <w:r>
        <w:tab/>
      </w:r>
      <w:r>
        <w:rPr>
          <w:sz w:val="18"/>
          <w:szCs w:val="18"/>
        </w:rPr>
        <w:t xml:space="preserve">При этом отклонение заявки за </w:t>
      </w:r>
      <w:r>
        <w:rPr>
          <w:sz w:val="18"/>
          <w:szCs w:val="18"/>
        </w:rPr>
        <w:t xml:space="preserve">отсутствие в ней документов, требующихся исключительно для</w:t>
      </w:r>
      <w:r>
        <w:rPr>
          <w:sz w:val="18"/>
          <w:szCs w:val="18"/>
        </w:rPr>
        <w:t xml:space="preserve"> </w:t>
      </w:r>
      <w:r>
        <w:rPr>
          <w:sz w:val="18"/>
          <w:szCs w:val="18"/>
        </w:rPr>
        <w:t xml:space="preserve">целей оценки и сопоставления заявок (подраздел </w:t>
      </w:r>
      <w:r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REF _Ref125362626 \w \h </w:instrText>
      </w:r>
      <w:r>
        <w:rPr>
          <w:sz w:val="18"/>
          <w:szCs w:val="18"/>
        </w:rPr>
        <w:instrText xml:space="preserve"> \* MERGEFORMAT </w:instrText>
      </w:r>
      <w:r>
        <w:rPr>
          <w:sz w:val="18"/>
          <w:szCs w:val="18"/>
        </w:rPr>
        <w:fldChar w:fldCharType="separate"/>
      </w:r>
      <w:r>
        <w:rPr>
          <w:sz w:val="18"/>
          <w:szCs w:val="18"/>
        </w:rPr>
        <w:t xml:space="preserve">4.13</w:t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  <w:t xml:space="preserve">), не допускается.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6">
    <w:p>
      <w:pPr>
        <w:pStyle w:val="1196"/>
        <w:rPr>
          <w:sz w:val="18"/>
          <w:szCs w:val="18"/>
        </w:rPr>
      </w:pPr>
      <w:r>
        <w:rPr>
          <w:rStyle w:val="1195"/>
          <w:sz w:val="18"/>
          <w:szCs w:val="18"/>
        </w:rPr>
        <w:footnoteRef/>
      </w:r>
      <w:r>
        <w:rPr>
          <w:sz w:val="18"/>
          <w:szCs w:val="18"/>
        </w:rPr>
        <w:tab/>
        <w:t xml:space="preserve">С учетом пункта </w:t>
      </w:r>
      <w:r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REF _Ref125365558 \w \h </w:instrText>
      </w:r>
      <w:r>
        <w:rPr>
          <w:sz w:val="18"/>
          <w:szCs w:val="18"/>
        </w:rPr>
        <w:fldChar w:fldCharType="separate"/>
      </w:r>
      <w:r>
        <w:rPr>
          <w:sz w:val="18"/>
          <w:szCs w:val="18"/>
        </w:rPr>
        <w:t xml:space="preserve">4.14.5</w:t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7">
    <w:p>
      <w:pPr>
        <w:pStyle w:val="1196"/>
        <w:rPr>
          <w:sz w:val="18"/>
          <w:szCs w:val="18"/>
        </w:rPr>
      </w:pPr>
      <w:r>
        <w:rPr>
          <w:rStyle w:val="1195"/>
          <w:sz w:val="18"/>
          <w:szCs w:val="18"/>
        </w:rPr>
        <w:footnoteRef/>
      </w:r>
      <w:r>
        <w:rPr>
          <w:sz w:val="18"/>
          <w:szCs w:val="18"/>
        </w:rP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8">
    <w:p>
      <w:pPr>
        <w:pStyle w:val="1193"/>
        <w:ind w:left="567" w:hanging="567"/>
        <w:jc w:val="both"/>
        <w:rPr>
          <w:sz w:val="18"/>
          <w:szCs w:val="18"/>
        </w:rPr>
      </w:pPr>
      <w:r>
        <w:rPr>
          <w:rStyle w:val="1195"/>
        </w:rPr>
        <w:footnoteRef/>
      </w:r>
      <w:r>
        <w:rPr>
          <w:sz w:val="22"/>
        </w:rPr>
        <w:tab/>
      </w:r>
      <w:r>
        <w:rPr>
          <w:sz w:val="18"/>
          <w:szCs w:val="18"/>
        </w:rPr>
        <w:t xml:space="preserve">В отношении предоставляемой Участником (в целях обеспечения проведения оценки его финансового состояния (устойчивости) в соответствии с Положением об аккредитации) бухгалтерской (финансовой) отчетности самостоятельные исправления арифметических ошибок не</w:t>
      </w:r>
      <w:r>
        <w:rPr>
          <w:sz w:val="18"/>
          <w:szCs w:val="18"/>
        </w:rPr>
        <w:t xml:space="preserve"> </w:t>
      </w:r>
      <w:r>
        <w:rPr>
          <w:sz w:val="18"/>
          <w:szCs w:val="18"/>
        </w:rPr>
        <w:t xml:space="preserve">допускается (все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изменения в отчетность должны вноситься в установленном законодательством порядке).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9">
    <w:p>
      <w:pPr>
        <w:pStyle w:val="1196"/>
        <w:rPr>
          <w:sz w:val="18"/>
          <w:szCs w:val="18"/>
        </w:rPr>
      </w:pPr>
      <w:r>
        <w:rPr>
          <w:rStyle w:val="1195"/>
        </w:rPr>
        <w:footnoteRef/>
      </w:r>
      <w:r>
        <w:tab/>
      </w:r>
      <w:r>
        <w:rPr>
          <w:sz w:val="18"/>
          <w:szCs w:val="18"/>
        </w:rPr>
        <w:t xml:space="preserve">Увеличение на 15% (пятнадцать процентов) итоговой стоимости заявки (цены Договора) в случае подачи им предложения о размере платы, подлежащей внесению за заключение Договора.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0">
    <w:p>
      <w:pPr>
        <w:pStyle w:val="1196"/>
        <w:rPr>
          <w:sz w:val="18"/>
          <w:szCs w:val="18"/>
        </w:rPr>
      </w:pPr>
      <w:r>
        <w:rPr>
          <w:rStyle w:val="1195"/>
          <w:sz w:val="18"/>
          <w:szCs w:val="18"/>
        </w:rPr>
        <w:footnoteRef/>
      </w:r>
      <w:r>
        <w:rPr>
          <w:sz w:val="18"/>
          <w:szCs w:val="18"/>
        </w:rP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1">
    <w:p>
      <w:pPr>
        <w:pStyle w:val="1196"/>
        <w:rPr>
          <w:sz w:val="18"/>
          <w:szCs w:val="18"/>
        </w:rPr>
      </w:pPr>
      <w:r>
        <w:rPr>
          <w:rStyle w:val="1195"/>
        </w:rPr>
        <w:footnoteRef/>
      </w:r>
      <w:r>
        <w:tab/>
      </w:r>
      <w:r>
        <w:rPr>
          <w:sz w:val="18"/>
          <w:szCs w:val="18"/>
        </w:rPr>
        <w:t xml:space="preserve">https://minfin.gov.ru/ru/perfomance/tax_relations/policy/bankwarranty/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2">
    <w:p>
      <w:pPr>
        <w:pStyle w:val="1196"/>
        <w:rPr>
          <w:sz w:val="18"/>
          <w:szCs w:val="18"/>
        </w:rPr>
      </w:pPr>
      <w:r>
        <w:rPr>
          <w:rStyle w:val="1195"/>
        </w:rPr>
        <w:footnoteRef/>
      </w:r>
      <w:r>
        <w:tab/>
      </w:r>
      <w:r>
        <w:rPr>
          <w:sz w:val="18"/>
          <w:szCs w:val="18"/>
        </w:rPr>
        <w:t xml:space="preserve">Коллективный участник предоставляет указанные документы на каждого члена.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3">
    <w:p>
      <w:pPr>
        <w:pStyle w:val="1196"/>
        <w:rPr>
          <w:sz w:val="18"/>
          <w:szCs w:val="18"/>
        </w:rPr>
      </w:pPr>
      <w:r>
        <w:rPr>
          <w:rStyle w:val="1195"/>
        </w:rPr>
        <w:footnoteRef/>
      </w:r>
      <w:r>
        <w:tab/>
      </w:r>
      <w:r>
        <w:rPr>
          <w:sz w:val="18"/>
          <w:szCs w:val="18"/>
        </w:rPr>
        <w:t xml:space="preserve">Во исполнение Указа Президента Российской Федерации от 03.05.2022 №</w:t>
      </w:r>
      <w:r>
        <w:rPr>
          <w:sz w:val="18"/>
          <w:szCs w:val="18"/>
        </w:rPr>
        <w:t xml:space="preserve"> </w:t>
      </w:r>
      <w:r>
        <w:rPr>
          <w:sz w:val="18"/>
          <w:szCs w:val="18"/>
        </w:rPr>
        <w:t xml:space="preserve">252 «О применении ответных специальных экономических мер в связи </w:t>
      </w:r>
      <w:r>
        <w:rPr>
          <w:sz w:val="18"/>
          <w:szCs w:val="18"/>
        </w:rPr>
        <w:t xml:space="preserve">с</w:t>
      </w:r>
      <w:r>
        <w:rPr>
          <w:sz w:val="18"/>
          <w:szCs w:val="18"/>
        </w:rPr>
        <w:t xml:space="preserve"> </w:t>
      </w:r>
      <w:r>
        <w:rPr>
          <w:sz w:val="18"/>
          <w:szCs w:val="18"/>
        </w:rPr>
        <w:t xml:space="preserve">недружественными действиями </w:t>
      </w:r>
      <w:r>
        <w:rPr>
          <w:sz w:val="18"/>
          <w:szCs w:val="18"/>
        </w:rPr>
        <w:t xml:space="preserve">некоторых иностранных государств и международных организаций».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4">
    <w:p>
      <w:pPr>
        <w:pStyle w:val="1196"/>
        <w:rPr>
          <w:sz w:val="18"/>
          <w:szCs w:val="18"/>
        </w:rPr>
      </w:pPr>
      <w:r>
        <w:rPr>
          <w:rStyle w:val="1195"/>
          <w:sz w:val="18"/>
          <w:szCs w:val="18"/>
        </w:rPr>
        <w:footnoteRef/>
      </w:r>
      <w:r>
        <w:rPr>
          <w:sz w:val="18"/>
          <w:szCs w:val="18"/>
        </w:rPr>
        <w:tab/>
      </w:r>
      <w:r>
        <w:rPr>
          <w:sz w:val="18"/>
          <w:szCs w:val="18"/>
        </w:rPr>
        <w:t xml:space="preserve">Перед заключением д</w:t>
      </w:r>
      <w:r>
        <w:rPr>
          <w:sz w:val="18"/>
          <w:szCs w:val="18"/>
        </w:rPr>
        <w:t xml:space="preserve">оговора Заказчик дополнительно проводит проверку Победителя (данная норма применима также в отношении Единственного участника несостоявшейся закупки, с которым принято решение о заключении договора) на основании документов, предоставляемых в соответствии с</w:t>
      </w:r>
      <w:r>
        <w:rPr>
          <w:sz w:val="18"/>
          <w:szCs w:val="18"/>
        </w:rPr>
        <w:t xml:space="preserve"> </w:t>
      </w:r>
      <w:r>
        <w:rPr>
          <w:sz w:val="18"/>
          <w:szCs w:val="18"/>
        </w:rPr>
        <w:t xml:space="preserve">подразделом</w:t>
      </w:r>
      <w:r>
        <w:rPr>
          <w:sz w:val="18"/>
          <w:szCs w:val="18"/>
        </w:rPr>
        <w:t xml:space="preserve"> </w:t>
      </w:r>
      <w:r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REF _Ref138341423 \r \h </w:instrText>
      </w:r>
      <w:r>
        <w:rPr>
          <w:sz w:val="18"/>
          <w:szCs w:val="18"/>
        </w:rPr>
        <w:fldChar w:fldCharType="separate"/>
      </w:r>
      <w:r>
        <w:rPr>
          <w:sz w:val="18"/>
          <w:szCs w:val="18"/>
        </w:rPr>
        <w:t xml:space="preserve">5.2</w:t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  <w:t xml:space="preserve">. </w:t>
      </w:r>
      <w:r>
        <w:rPr>
          <w:sz w:val="18"/>
          <w:szCs w:val="18"/>
        </w:rPr>
        <w:t xml:space="preserve">Е</w:t>
      </w:r>
      <w:r>
        <w:rPr>
          <w:sz w:val="18"/>
          <w:szCs w:val="18"/>
        </w:rPr>
        <w:t xml:space="preserve">сли по результатам такой проверки Участник не отвечает установленным требованиям, то он утрачивает статус Победителя, а</w:t>
      </w:r>
      <w:r>
        <w:rPr>
          <w:sz w:val="18"/>
          <w:szCs w:val="18"/>
        </w:rPr>
        <w:t xml:space="preserve"> </w:t>
      </w:r>
      <w:r>
        <w:rPr>
          <w:sz w:val="18"/>
          <w:szCs w:val="18"/>
        </w:rPr>
        <w:t xml:space="preserve">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действующих заявок.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5">
    <w:p>
      <w:pPr>
        <w:pStyle w:val="1193"/>
        <w:rPr>
          <w:sz w:val="18"/>
          <w:szCs w:val="18"/>
        </w:rPr>
      </w:pPr>
      <w:r>
        <w:rPr>
          <w:rStyle w:val="1195"/>
        </w:rPr>
        <w:footnoteRef/>
      </w:r>
      <w:r>
        <w:t xml:space="preserve"> </w:t>
      </w:r>
      <w:r>
        <w:rPr>
          <w:sz w:val="18"/>
          <w:szCs w:val="18"/>
        </w:rPr>
        <w:t xml:space="preserve">В Положении об аккредитации используется термин </w:t>
      </w:r>
      <w:r>
        <w:rPr>
          <w:sz w:val="18"/>
          <w:szCs w:val="18"/>
        </w:rPr>
        <w:t xml:space="preserve">«</w:t>
      </w:r>
      <w:r>
        <w:rPr>
          <w:sz w:val="18"/>
          <w:szCs w:val="18"/>
        </w:rPr>
        <w:t xml:space="preserve">Заявитель</w:t>
      </w:r>
      <w:r>
        <w:rPr>
          <w:sz w:val="18"/>
          <w:szCs w:val="18"/>
        </w:rPr>
        <w:t xml:space="preserve">»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 w:cs="Times New Roman"/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660" w:hanging="660"/>
      </w:pPr>
      <w:rPr>
        <w:rFonts w:hint="default"/>
      </w:rPr>
    </w:lvl>
    <w:lvl w:ilvl="2">
      <w:start w:val="13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2694" w:hanging="1134"/>
        <w:tabs>
          <w:tab w:val="num" w:pos="2694" w:leader="none"/>
        </w:tabs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1222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1224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1225"/>
      <w:isLgl w:val="false"/>
      <w:suff w:val="tab"/>
      <w:lvlText w:val="%5)"/>
      <w:lvlJc w:val="left"/>
      <w:pPr>
        <w:ind w:left="5104" w:hanging="567"/>
        <w:tabs>
          <w:tab w:val="num" w:pos="5104" w:leader="none"/>
        </w:tabs>
      </w:pPr>
      <w:rPr>
        <w:rFonts w:hint="default"/>
        <w:b w:val="0"/>
        <w:i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pStyle w:val="1181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182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183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184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185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isLgl w:val="false"/>
      <w:suff w:val="tab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isLgl w:val="false"/>
      <w:suff w:val="tab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isLgl w:val="false"/>
      <w:suff w:val="tab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 w:cs="Times New Roman"/>
      </w:rPr>
    </w:lvl>
    <w:lvl w:ilvl="3">
      <w:start w:val="1"/>
      <w:numFmt w:val="russianLower"/>
      <w:isLgl w:val="false"/>
      <w:suff w:val="tab"/>
      <w:lvlText w:val="(%4)"/>
      <w:lvlJc w:val="left"/>
      <w:pPr>
        <w:ind w:left="1701" w:hanging="567"/>
      </w:pPr>
      <w:rPr>
        <w:rFonts w:hint="default" w:cs="Times New Roman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/>
      </w:rPr>
    </w:lvl>
    <w:lvl w:ilvl="5">
      <w:start w:val="1"/>
      <w:numFmt w:val="none"/>
      <w:lvlRestart w:val="0"/>
      <w:isLgl w:val="false"/>
      <w:suff w:val="nothing"/>
      <w:lvlText w:val=""/>
      <w:lvlJc w:val="left"/>
      <w:pPr>
        <w:ind w:left="1134"/>
      </w:pPr>
      <w:rPr>
        <w:rFonts w:hint="default" w:cs="Times New Roman"/>
      </w:rPr>
    </w:lvl>
    <w:lvl w:ilvl="6">
      <w:start w:val="1"/>
      <w:numFmt w:val="none"/>
      <w:lvlRestart w:val="0"/>
      <w:isLgl w:val="false"/>
      <w:suff w:val="nothing"/>
      <w:lvlText w:val=""/>
      <w:lvlJc w:val="left"/>
      <w:pPr>
        <w:ind w:left="1701"/>
      </w:pPr>
      <w:rPr>
        <w:rFonts w:hint="default" w:cs="Times New Roman"/>
      </w:rPr>
    </w:lvl>
    <w:lvl w:ilvl="7">
      <w:start w:val="1"/>
      <w:numFmt w:val="none"/>
      <w:lvlRestart w:val="0"/>
      <w:isLgl w:val="false"/>
      <w:suff w:val="nothing"/>
      <w:lvlText w:val=""/>
      <w:lvlJc w:val="left"/>
      <w:pPr/>
      <w:rPr>
        <w:rFonts w:hint="default" w:cs="Times New Roman"/>
      </w:rPr>
    </w:lvl>
    <w:lvl w:ilvl="8">
      <w:start w:val="1"/>
      <w:numFmt w:val="none"/>
      <w:lvlRestart w:val="0"/>
      <w:isLgl w:val="false"/>
      <w:suff w:val="nothing"/>
      <w:lvlText w:val=""/>
      <w:lvlJc w:val="left"/>
      <w:pPr>
        <w:ind w:left="1134"/>
      </w:pPr>
      <w:rPr>
        <w:rFonts w:hint="default" w:cs="Times New Roman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 w:cs="Times New Roman"/>
      </w:rPr>
    </w:lvl>
    <w:lvl w:ilvl="3">
      <w:start w:val="1"/>
      <w:numFmt w:val="russianLower"/>
      <w:isLgl w:val="false"/>
      <w:suff w:val="tab"/>
      <w:lvlText w:val="(%4)"/>
      <w:lvlJc w:val="left"/>
      <w:pPr>
        <w:ind w:left="1701" w:hanging="567"/>
      </w:pPr>
      <w:rPr>
        <w:rFonts w:hint="default" w:cs="Times New Roman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/>
      </w:rPr>
    </w:lvl>
    <w:lvl w:ilvl="5">
      <w:start w:val="1"/>
      <w:numFmt w:val="none"/>
      <w:lvlRestart w:val="0"/>
      <w:isLgl w:val="false"/>
      <w:suff w:val="nothing"/>
      <w:lvlText w:val=""/>
      <w:lvlJc w:val="left"/>
      <w:pPr>
        <w:ind w:left="1134"/>
      </w:pPr>
      <w:rPr>
        <w:rFonts w:hint="default" w:cs="Times New Roman"/>
      </w:rPr>
    </w:lvl>
    <w:lvl w:ilvl="6">
      <w:start w:val="1"/>
      <w:numFmt w:val="none"/>
      <w:lvlRestart w:val="0"/>
      <w:isLgl w:val="false"/>
      <w:suff w:val="nothing"/>
      <w:lvlText w:val=""/>
      <w:lvlJc w:val="left"/>
      <w:pPr>
        <w:ind w:left="1701"/>
      </w:pPr>
      <w:rPr>
        <w:rFonts w:hint="default" w:cs="Times New Roman"/>
      </w:rPr>
    </w:lvl>
    <w:lvl w:ilvl="7">
      <w:start w:val="1"/>
      <w:numFmt w:val="none"/>
      <w:lvlRestart w:val="0"/>
      <w:isLgl w:val="false"/>
      <w:suff w:val="nothing"/>
      <w:lvlText w:val=""/>
      <w:lvlJc w:val="left"/>
      <w:pPr/>
      <w:rPr>
        <w:rFonts w:hint="default" w:cs="Times New Roman"/>
      </w:rPr>
    </w:lvl>
    <w:lvl w:ilvl="8">
      <w:start w:val="1"/>
      <w:numFmt w:val="none"/>
      <w:lvlRestart w:val="0"/>
      <w:isLgl w:val="false"/>
      <w:suff w:val="nothing"/>
      <w:lvlText w:val=""/>
      <w:lvlJc w:val="left"/>
      <w:pPr>
        <w:ind w:left="1134"/>
      </w:pPr>
      <w:rPr>
        <w:rFonts w:hint="default" w:cs="Times New Roman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isLgl w:val="false"/>
      <w:suff w:val="tab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 w:cs="Times New Roman"/>
      </w:rPr>
    </w:lvl>
    <w:lvl w:ilvl="3">
      <w:start w:val="1"/>
      <w:numFmt w:val="russianLower"/>
      <w:isLgl w:val="false"/>
      <w:suff w:val="tab"/>
      <w:lvlText w:val="(%4)"/>
      <w:lvlJc w:val="left"/>
      <w:pPr>
        <w:ind w:left="1701" w:hanging="567"/>
      </w:pPr>
      <w:rPr>
        <w:rFonts w:hint="default" w:cs="Times New Roman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/>
      </w:rPr>
    </w:lvl>
    <w:lvl w:ilvl="5">
      <w:start w:val="1"/>
      <w:numFmt w:val="none"/>
      <w:lvlRestart w:val="0"/>
      <w:isLgl w:val="false"/>
      <w:suff w:val="nothing"/>
      <w:lvlText w:val=""/>
      <w:lvlJc w:val="left"/>
      <w:pPr>
        <w:ind w:left="1134"/>
      </w:pPr>
      <w:rPr>
        <w:rFonts w:hint="default" w:cs="Times New Roman"/>
      </w:rPr>
    </w:lvl>
    <w:lvl w:ilvl="6">
      <w:start w:val="1"/>
      <w:numFmt w:val="none"/>
      <w:lvlRestart w:val="0"/>
      <w:isLgl w:val="false"/>
      <w:suff w:val="nothing"/>
      <w:lvlText w:val=""/>
      <w:lvlJc w:val="left"/>
      <w:pPr>
        <w:ind w:left="1701"/>
      </w:pPr>
      <w:rPr>
        <w:rFonts w:hint="default" w:cs="Times New Roman"/>
      </w:rPr>
    </w:lvl>
    <w:lvl w:ilvl="7">
      <w:start w:val="1"/>
      <w:numFmt w:val="none"/>
      <w:lvlRestart w:val="0"/>
      <w:isLgl w:val="false"/>
      <w:suff w:val="nothing"/>
      <w:lvlText w:val=""/>
      <w:lvlJc w:val="left"/>
      <w:pPr/>
      <w:rPr>
        <w:rFonts w:hint="default" w:cs="Times New Roman"/>
      </w:rPr>
    </w:lvl>
    <w:lvl w:ilvl="8">
      <w:start w:val="1"/>
      <w:numFmt w:val="none"/>
      <w:lvlRestart w:val="0"/>
      <w:isLgl w:val="false"/>
      <w:suff w:val="nothing"/>
      <w:lvlText w:val=""/>
      <w:lvlJc w:val="left"/>
      <w:pPr>
        <w:ind w:left="1134"/>
      </w:pPr>
      <w:rPr>
        <w:rFonts w:hint="default" w:cs="Times New Roman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1036" w:hanging="360"/>
      </w:pPr>
      <w:rPr>
        <w:rFonts w:hint="default" w:ascii="Calibri" w:hAnsi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756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6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6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6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 w:cs="Times New Roman"/>
      </w:rPr>
    </w:lvl>
    <w:lvl w:ilvl="3">
      <w:start w:val="1"/>
      <w:numFmt w:val="russianLower"/>
      <w:isLgl w:val="false"/>
      <w:suff w:val="tab"/>
      <w:lvlText w:val="(%4)"/>
      <w:lvlJc w:val="left"/>
      <w:pPr>
        <w:ind w:left="1701" w:hanging="567"/>
      </w:pPr>
      <w:rPr>
        <w:rFonts w:hint="default" w:cs="Times New Roman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/>
      </w:rPr>
    </w:lvl>
    <w:lvl w:ilvl="5">
      <w:start w:val="1"/>
      <w:numFmt w:val="none"/>
      <w:lvlRestart w:val="0"/>
      <w:isLgl w:val="false"/>
      <w:suff w:val="nothing"/>
      <w:lvlText w:val=""/>
      <w:lvlJc w:val="left"/>
      <w:pPr>
        <w:ind w:left="1134"/>
      </w:pPr>
      <w:rPr>
        <w:rFonts w:hint="default" w:cs="Times New Roman"/>
      </w:rPr>
    </w:lvl>
    <w:lvl w:ilvl="6">
      <w:start w:val="1"/>
      <w:numFmt w:val="none"/>
      <w:lvlRestart w:val="0"/>
      <w:isLgl w:val="false"/>
      <w:suff w:val="nothing"/>
      <w:lvlText w:val=""/>
      <w:lvlJc w:val="left"/>
      <w:pPr>
        <w:ind w:left="1701"/>
      </w:pPr>
      <w:rPr>
        <w:rFonts w:hint="default" w:cs="Times New Roman"/>
      </w:rPr>
    </w:lvl>
    <w:lvl w:ilvl="7">
      <w:start w:val="1"/>
      <w:numFmt w:val="none"/>
      <w:lvlRestart w:val="0"/>
      <w:isLgl w:val="false"/>
      <w:suff w:val="nothing"/>
      <w:lvlText w:val=""/>
      <w:lvlJc w:val="left"/>
      <w:pPr/>
      <w:rPr>
        <w:rFonts w:hint="default" w:cs="Times New Roman"/>
      </w:rPr>
    </w:lvl>
    <w:lvl w:ilvl="8">
      <w:start w:val="1"/>
      <w:numFmt w:val="none"/>
      <w:lvlRestart w:val="0"/>
      <w:isLgl w:val="false"/>
      <w:suff w:val="nothing"/>
      <w:lvlText w:val=""/>
      <w:lvlJc w:val="left"/>
      <w:pPr>
        <w:ind w:left="1134"/>
      </w:pPr>
      <w:rPr>
        <w:rFonts w:hint="default" w:cs="Times New Roman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1036" w:hanging="360"/>
      </w:pPr>
      <w:rPr>
        <w:rFonts w:hint="default" w:ascii="Calibri" w:hAnsi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756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6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6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6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 w:cs="Times New Roman"/>
      </w:rPr>
    </w:lvl>
    <w:lvl w:ilvl="3">
      <w:start w:val="1"/>
      <w:numFmt w:val="russianLower"/>
      <w:isLgl w:val="false"/>
      <w:suff w:val="tab"/>
      <w:lvlText w:val="(%4)"/>
      <w:lvlJc w:val="left"/>
      <w:pPr>
        <w:ind w:left="1701" w:hanging="567"/>
      </w:pPr>
      <w:rPr>
        <w:rFonts w:hint="default" w:cs="Times New Roman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/>
      </w:rPr>
    </w:lvl>
    <w:lvl w:ilvl="5">
      <w:start w:val="1"/>
      <w:numFmt w:val="none"/>
      <w:lvlRestart w:val="0"/>
      <w:isLgl w:val="false"/>
      <w:suff w:val="nothing"/>
      <w:lvlText w:val=""/>
      <w:lvlJc w:val="left"/>
      <w:pPr>
        <w:ind w:left="1134"/>
      </w:pPr>
      <w:rPr>
        <w:rFonts w:hint="default" w:cs="Times New Roman"/>
      </w:rPr>
    </w:lvl>
    <w:lvl w:ilvl="6">
      <w:start w:val="1"/>
      <w:numFmt w:val="none"/>
      <w:lvlRestart w:val="0"/>
      <w:isLgl w:val="false"/>
      <w:suff w:val="nothing"/>
      <w:lvlText w:val=""/>
      <w:lvlJc w:val="left"/>
      <w:pPr>
        <w:ind w:left="1701"/>
      </w:pPr>
      <w:rPr>
        <w:rFonts w:hint="default" w:cs="Times New Roman"/>
      </w:rPr>
    </w:lvl>
    <w:lvl w:ilvl="7">
      <w:start w:val="1"/>
      <w:numFmt w:val="none"/>
      <w:lvlRestart w:val="0"/>
      <w:isLgl w:val="false"/>
      <w:suff w:val="nothing"/>
      <w:lvlText w:val=""/>
      <w:lvlJc w:val="left"/>
      <w:pPr/>
      <w:rPr>
        <w:rFonts w:hint="default" w:cs="Times New Roman"/>
      </w:rPr>
    </w:lvl>
    <w:lvl w:ilvl="8">
      <w:start w:val="1"/>
      <w:numFmt w:val="none"/>
      <w:lvlRestart w:val="0"/>
      <w:isLgl w:val="false"/>
      <w:suff w:val="nothing"/>
      <w:lvlText w:val=""/>
      <w:lvlJc w:val="left"/>
      <w:pPr>
        <w:ind w:left="1134"/>
      </w:pPr>
      <w:rPr>
        <w:rFonts w:hint="default" w:cs="Times New Roman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</w:lvl>
    <w:lvl w:ilvl="3">
      <w:start w:val="1"/>
      <w:numFmt w:val="decimal"/>
      <w:isLgl w:val="false"/>
      <w:suff w:val="tab"/>
      <w:lvlText w:val="(%4)"/>
      <w:lvlJc w:val="left"/>
      <w:pPr>
        <w:ind w:left="1701" w:hanging="567"/>
      </w:p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isLgl w:val="false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 w:cs="Times New Roman"/>
      </w:rPr>
    </w:lvl>
    <w:lvl w:ilvl="3">
      <w:start w:val="1"/>
      <w:numFmt w:val="russianLower"/>
      <w:isLgl w:val="false"/>
      <w:suff w:val="tab"/>
      <w:lvlText w:val="(%4)"/>
      <w:lvlJc w:val="left"/>
      <w:pPr>
        <w:ind w:left="1701" w:hanging="567"/>
      </w:pPr>
      <w:rPr>
        <w:rFonts w:hint="default" w:cs="Times New Roman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/>
      </w:rPr>
    </w:lvl>
    <w:lvl w:ilvl="5">
      <w:start w:val="1"/>
      <w:numFmt w:val="none"/>
      <w:lvlRestart w:val="0"/>
      <w:isLgl w:val="false"/>
      <w:suff w:val="nothing"/>
      <w:lvlText w:val=""/>
      <w:lvlJc w:val="left"/>
      <w:pPr>
        <w:ind w:left="1134"/>
      </w:pPr>
      <w:rPr>
        <w:rFonts w:hint="default" w:cs="Times New Roman"/>
      </w:rPr>
    </w:lvl>
    <w:lvl w:ilvl="6">
      <w:start w:val="1"/>
      <w:numFmt w:val="none"/>
      <w:lvlRestart w:val="0"/>
      <w:isLgl w:val="false"/>
      <w:suff w:val="nothing"/>
      <w:lvlText w:val=""/>
      <w:lvlJc w:val="left"/>
      <w:pPr>
        <w:ind w:left="1701"/>
      </w:pPr>
      <w:rPr>
        <w:rFonts w:hint="default" w:cs="Times New Roman"/>
      </w:rPr>
    </w:lvl>
    <w:lvl w:ilvl="7">
      <w:start w:val="1"/>
      <w:numFmt w:val="none"/>
      <w:lvlRestart w:val="0"/>
      <w:isLgl w:val="false"/>
      <w:suff w:val="nothing"/>
      <w:lvlText w:val=""/>
      <w:lvlJc w:val="left"/>
      <w:pPr/>
      <w:rPr>
        <w:rFonts w:hint="default" w:cs="Times New Roman"/>
      </w:rPr>
    </w:lvl>
    <w:lvl w:ilvl="8">
      <w:start w:val="1"/>
      <w:numFmt w:val="none"/>
      <w:lvlRestart w:val="0"/>
      <w:isLgl w:val="false"/>
      <w:suff w:val="nothing"/>
      <w:lvlText w:val=""/>
      <w:lvlJc w:val="left"/>
      <w:pPr>
        <w:ind w:left="1134"/>
      </w:pPr>
      <w:rPr>
        <w:rFonts w:hint="default" w:cs="Times New Roman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2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2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2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2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2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2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2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2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2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16"/>
  </w:num>
  <w:num w:numId="5">
    <w:abstractNumId w:val="12"/>
  </w:num>
  <w:num w:numId="6">
    <w:abstractNumId w:val="7"/>
  </w:num>
  <w:num w:numId="7">
    <w:abstractNumId w:val="5"/>
  </w:num>
  <w:num w:numId="8">
    <w:abstractNumId w:val="1"/>
  </w:num>
  <w:num w:numId="9">
    <w:abstractNumId w:val="18"/>
  </w:num>
  <w:num w:numId="10">
    <w:abstractNumId w:val="6"/>
  </w:num>
  <w:num w:numId="11">
    <w:abstractNumId w:val="17"/>
  </w:num>
  <w:num w:numId="12">
    <w:abstractNumId w:val="20"/>
  </w:num>
  <w:num w:numId="13">
    <w:abstractNumId w:val="2"/>
  </w:num>
  <w:num w:numId="14">
    <w:abstractNumId w:val="3"/>
  </w:num>
  <w:num w:numId="15">
    <w:abstractNumId w:val="13"/>
  </w:num>
  <w:num w:numId="16">
    <w:abstractNumId w:val="9"/>
  </w:num>
  <w:num w:numId="17">
    <w:abstractNumId w:val="21"/>
  </w:num>
  <w:num w:numId="18">
    <w:abstractNumId w:val="19"/>
  </w:num>
  <w:num w:numId="19">
    <w:abstractNumId w:val="10"/>
  </w:num>
  <w:num w:numId="20">
    <w:abstractNumId w:val="8"/>
  </w:num>
  <w:num w:numId="21">
    <w:abstractNumId w:val="11"/>
  </w:num>
  <w:num w:numId="22">
    <w:abstractNumId w:val="22"/>
  </w:num>
  <w:num w:numId="23">
    <w:abstractNumId w:val="0"/>
  </w:num>
  <w:num w:numId="24">
    <w:abstractNumId w:val="14"/>
  </w:num>
  <w:num w:numId="25">
    <w:abstractNumId w:val="23"/>
  </w:num>
  <w:num w:numId="26">
    <w:abstractNumId w:val="24"/>
  </w:num>
  <w:num w:numId="27">
    <w:abstractNumId w:val="25"/>
  </w:num>
  <w:num w:numId="28">
    <w:abstractNumId w:val="26"/>
  </w:num>
  <w:num w:numId="29">
    <w:abstractNumId w:val="27"/>
  </w:num>
  <w:num w:numId="30">
    <w:abstractNumId w:val="28"/>
  </w:num>
  <w:num w:numId="31">
    <w:abstractNumId w:val="29"/>
  </w:num>
  <w:num w:numId="32">
    <w:abstractNumId w:val="30"/>
  </w:num>
  <w:num w:numId="33">
    <w:abstractNumId w:val="31"/>
  </w:num>
  <w:num w:numId="34">
    <w:abstractNumId w:val="32"/>
  </w:num>
  <w:num w:numId="35">
    <w:abstractNumId w:val="33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</w:num>
  <w:num w:numId="38">
    <w:abstractNumId w:val="36"/>
  </w:num>
  <w:num w:numId="39">
    <w:abstractNumId w:val="37"/>
  </w:num>
  <w:num w:numId="40">
    <w:abstractNumId w:val="38"/>
  </w:num>
  <w:num w:numId="41">
    <w:abstractNumId w:val="39"/>
  </w:num>
  <w:num w:numId="42">
    <w:abstractNumId w:val="40"/>
  </w:num>
  <w:num w:numId="43">
    <w:abstractNumId w:val="41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015">
    <w:name w:val="Heading 1 Char"/>
    <w:basedOn w:val="1178"/>
    <w:link w:val="1175"/>
    <w:uiPriority w:val="9"/>
    <w:rPr>
      <w:rFonts w:ascii="Arial" w:hAnsi="Arial" w:eastAsia="Arial" w:cs="Arial"/>
      <w:sz w:val="40"/>
      <w:szCs w:val="40"/>
    </w:rPr>
  </w:style>
  <w:style w:type="character" w:styleId="1016">
    <w:name w:val="Heading 2 Char"/>
    <w:basedOn w:val="1178"/>
    <w:link w:val="1176"/>
    <w:uiPriority w:val="9"/>
    <w:rPr>
      <w:rFonts w:ascii="Arial" w:hAnsi="Arial" w:eastAsia="Arial" w:cs="Arial"/>
      <w:sz w:val="34"/>
    </w:rPr>
  </w:style>
  <w:style w:type="character" w:styleId="1017">
    <w:name w:val="Heading 3 Char"/>
    <w:basedOn w:val="1178"/>
    <w:link w:val="1177"/>
    <w:uiPriority w:val="9"/>
    <w:rPr>
      <w:rFonts w:ascii="Arial" w:hAnsi="Arial" w:eastAsia="Arial" w:cs="Arial"/>
      <w:sz w:val="30"/>
      <w:szCs w:val="30"/>
    </w:rPr>
  </w:style>
  <w:style w:type="paragraph" w:styleId="1018">
    <w:name w:val="Heading 4"/>
    <w:basedOn w:val="1174"/>
    <w:next w:val="1174"/>
    <w:link w:val="10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019">
    <w:name w:val="Heading 4 Char"/>
    <w:basedOn w:val="1178"/>
    <w:link w:val="1018"/>
    <w:uiPriority w:val="9"/>
    <w:rPr>
      <w:rFonts w:ascii="Arial" w:hAnsi="Arial" w:eastAsia="Arial" w:cs="Arial"/>
      <w:b/>
      <w:bCs/>
      <w:sz w:val="26"/>
      <w:szCs w:val="26"/>
    </w:rPr>
  </w:style>
  <w:style w:type="paragraph" w:styleId="1020">
    <w:name w:val="Heading 5"/>
    <w:basedOn w:val="1174"/>
    <w:next w:val="1174"/>
    <w:link w:val="10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021">
    <w:name w:val="Heading 5 Char"/>
    <w:basedOn w:val="1178"/>
    <w:link w:val="1020"/>
    <w:uiPriority w:val="9"/>
    <w:rPr>
      <w:rFonts w:ascii="Arial" w:hAnsi="Arial" w:eastAsia="Arial" w:cs="Arial"/>
      <w:b/>
      <w:bCs/>
      <w:sz w:val="24"/>
      <w:szCs w:val="24"/>
    </w:rPr>
  </w:style>
  <w:style w:type="paragraph" w:styleId="1022">
    <w:name w:val="Heading 6"/>
    <w:basedOn w:val="1174"/>
    <w:next w:val="1174"/>
    <w:link w:val="10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023">
    <w:name w:val="Heading 6 Char"/>
    <w:basedOn w:val="1178"/>
    <w:link w:val="1022"/>
    <w:uiPriority w:val="9"/>
    <w:rPr>
      <w:rFonts w:ascii="Arial" w:hAnsi="Arial" w:eastAsia="Arial" w:cs="Arial"/>
      <w:b/>
      <w:bCs/>
      <w:sz w:val="22"/>
      <w:szCs w:val="22"/>
    </w:rPr>
  </w:style>
  <w:style w:type="paragraph" w:styleId="1024">
    <w:name w:val="Heading 7"/>
    <w:basedOn w:val="1174"/>
    <w:next w:val="1174"/>
    <w:link w:val="10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025">
    <w:name w:val="Heading 7 Char"/>
    <w:basedOn w:val="1178"/>
    <w:link w:val="10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026">
    <w:name w:val="Heading 8"/>
    <w:basedOn w:val="1174"/>
    <w:next w:val="1174"/>
    <w:link w:val="10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027">
    <w:name w:val="Heading 8 Char"/>
    <w:basedOn w:val="1178"/>
    <w:link w:val="1026"/>
    <w:uiPriority w:val="9"/>
    <w:rPr>
      <w:rFonts w:ascii="Arial" w:hAnsi="Arial" w:eastAsia="Arial" w:cs="Arial"/>
      <w:i/>
      <w:iCs/>
      <w:sz w:val="22"/>
      <w:szCs w:val="22"/>
    </w:rPr>
  </w:style>
  <w:style w:type="paragraph" w:styleId="1028">
    <w:name w:val="Heading 9"/>
    <w:basedOn w:val="1174"/>
    <w:next w:val="1174"/>
    <w:link w:val="10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029">
    <w:name w:val="Heading 9 Char"/>
    <w:basedOn w:val="1178"/>
    <w:link w:val="1028"/>
    <w:uiPriority w:val="9"/>
    <w:rPr>
      <w:rFonts w:ascii="Arial" w:hAnsi="Arial" w:eastAsia="Arial" w:cs="Arial"/>
      <w:i/>
      <w:iCs/>
      <w:sz w:val="21"/>
      <w:szCs w:val="21"/>
    </w:rPr>
  </w:style>
  <w:style w:type="paragraph" w:styleId="1030">
    <w:name w:val="No Spacing"/>
    <w:uiPriority w:val="1"/>
    <w:qFormat/>
    <w:pPr>
      <w:spacing w:before="0" w:after="0" w:line="240" w:lineRule="auto"/>
    </w:pPr>
  </w:style>
  <w:style w:type="paragraph" w:styleId="1031">
    <w:name w:val="Title"/>
    <w:basedOn w:val="1174"/>
    <w:next w:val="1174"/>
    <w:link w:val="103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032">
    <w:name w:val="Title Char"/>
    <w:basedOn w:val="1178"/>
    <w:link w:val="1031"/>
    <w:uiPriority w:val="10"/>
    <w:rPr>
      <w:sz w:val="48"/>
      <w:szCs w:val="48"/>
    </w:rPr>
  </w:style>
  <w:style w:type="paragraph" w:styleId="1033">
    <w:name w:val="Subtitle"/>
    <w:basedOn w:val="1174"/>
    <w:next w:val="1174"/>
    <w:link w:val="1034"/>
    <w:uiPriority w:val="11"/>
    <w:qFormat/>
    <w:pPr>
      <w:spacing w:before="200" w:after="200"/>
    </w:pPr>
    <w:rPr>
      <w:sz w:val="24"/>
      <w:szCs w:val="24"/>
    </w:rPr>
  </w:style>
  <w:style w:type="character" w:styleId="1034">
    <w:name w:val="Subtitle Char"/>
    <w:basedOn w:val="1178"/>
    <w:link w:val="1033"/>
    <w:uiPriority w:val="11"/>
    <w:rPr>
      <w:sz w:val="24"/>
      <w:szCs w:val="24"/>
    </w:rPr>
  </w:style>
  <w:style w:type="paragraph" w:styleId="1035">
    <w:name w:val="Quote"/>
    <w:basedOn w:val="1174"/>
    <w:next w:val="1174"/>
    <w:link w:val="1036"/>
    <w:uiPriority w:val="29"/>
    <w:qFormat/>
    <w:pPr>
      <w:ind w:left="720" w:right="720"/>
    </w:pPr>
    <w:rPr>
      <w:i/>
    </w:rPr>
  </w:style>
  <w:style w:type="character" w:styleId="1036">
    <w:name w:val="Quote Char"/>
    <w:link w:val="1035"/>
    <w:uiPriority w:val="29"/>
    <w:rPr>
      <w:i/>
    </w:rPr>
  </w:style>
  <w:style w:type="paragraph" w:styleId="1037">
    <w:name w:val="Intense Quote"/>
    <w:basedOn w:val="1174"/>
    <w:next w:val="1174"/>
    <w:link w:val="103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038">
    <w:name w:val="Intense Quote Char"/>
    <w:link w:val="1037"/>
    <w:uiPriority w:val="30"/>
    <w:rPr>
      <w:i/>
    </w:rPr>
  </w:style>
  <w:style w:type="character" w:styleId="1039">
    <w:name w:val="Header Char"/>
    <w:basedOn w:val="1178"/>
    <w:link w:val="1188"/>
    <w:uiPriority w:val="99"/>
  </w:style>
  <w:style w:type="character" w:styleId="1040">
    <w:name w:val="Footer Char"/>
    <w:basedOn w:val="1178"/>
    <w:link w:val="1190"/>
    <w:uiPriority w:val="99"/>
  </w:style>
  <w:style w:type="paragraph" w:styleId="1041">
    <w:name w:val="Caption"/>
    <w:basedOn w:val="1174"/>
    <w:next w:val="1174"/>
    <w:link w:val="10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042">
    <w:name w:val="Caption Char"/>
    <w:basedOn w:val="1041"/>
    <w:link w:val="1190"/>
    <w:uiPriority w:val="99"/>
  </w:style>
  <w:style w:type="table" w:styleId="1043">
    <w:name w:val="Table Grid Light"/>
    <w:basedOn w:val="11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44">
    <w:name w:val="Plain Table 1"/>
    <w:basedOn w:val="11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45">
    <w:name w:val="Plain Table 2"/>
    <w:basedOn w:val="11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46">
    <w:name w:val="Plain Table 3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47">
    <w:name w:val="Plain Table 4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8">
    <w:name w:val="Plain Table 5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49">
    <w:name w:val="Grid Table 1 Light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0">
    <w:name w:val="Grid Table 1 Light - Accent 1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1">
    <w:name w:val="Grid Table 1 Light - Accent 2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2">
    <w:name w:val="Grid Table 1 Light - Accent 3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3">
    <w:name w:val="Grid Table 1 Light - Accent 4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4">
    <w:name w:val="Grid Table 1 Light - Accent 5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5">
    <w:name w:val="Grid Table 1 Light - Accent 6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6">
    <w:name w:val="Grid Table 2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7">
    <w:name w:val="Grid Table 2 - Accent 1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8">
    <w:name w:val="Grid Table 2 - Accent 2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9">
    <w:name w:val="Grid Table 2 - Accent 3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0">
    <w:name w:val="Grid Table 2 - Accent 4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1">
    <w:name w:val="Grid Table 2 - Accent 5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2">
    <w:name w:val="Grid Table 2 - Accent 6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3">
    <w:name w:val="Grid Table 3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4">
    <w:name w:val="Grid Table 3 - Accent 1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5">
    <w:name w:val="Grid Table 3 - Accent 2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6">
    <w:name w:val="Grid Table 3 - Accent 3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7">
    <w:name w:val="Grid Table 3 - Accent 4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8">
    <w:name w:val="Grid Table 3 - Accent 5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9">
    <w:name w:val="Grid Table 3 - Accent 6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0">
    <w:name w:val="Grid Table 4"/>
    <w:basedOn w:val="11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71">
    <w:name w:val="Grid Table 4 - Accent 1"/>
    <w:basedOn w:val="11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72">
    <w:name w:val="Grid Table 4 - Accent 2"/>
    <w:basedOn w:val="11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73">
    <w:name w:val="Grid Table 4 - Accent 3"/>
    <w:basedOn w:val="11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74">
    <w:name w:val="Grid Table 4 - Accent 4"/>
    <w:basedOn w:val="11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75">
    <w:name w:val="Grid Table 4 - Accent 5"/>
    <w:basedOn w:val="11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76">
    <w:name w:val="Grid Table 4 - Accent 6"/>
    <w:basedOn w:val="11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77">
    <w:name w:val="Grid Table 5 Dark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78">
    <w:name w:val="Grid Table 5 Dark- Accent 1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1079">
    <w:name w:val="Grid Table 5 Dark - Accent 2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080">
    <w:name w:val="Grid Table 5 Dark - Accent 3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081">
    <w:name w:val="Grid Table 5 Dark- Accent 4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082">
    <w:name w:val="Grid Table 5 Dark - Accent 5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1083">
    <w:name w:val="Grid Table 5 Dark - Accent 6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084">
    <w:name w:val="Grid Table 6 Colorful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85">
    <w:name w:val="Grid Table 6 Colorful - Accent 1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86">
    <w:name w:val="Grid Table 6 Colorful - Accent 2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87">
    <w:name w:val="Grid Table 6 Colorful - Accent 3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88">
    <w:name w:val="Grid Table 6 Colorful - Accent 4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89">
    <w:name w:val="Grid Table 6 Colorful - Accent 5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90">
    <w:name w:val="Grid Table 6 Colorful - Accent 6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91">
    <w:name w:val="Grid Table 7 Colorful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2">
    <w:name w:val="Grid Table 7 Colorful - Accent 1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3">
    <w:name w:val="Grid Table 7 Colorful - Accent 2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4">
    <w:name w:val="Grid Table 7 Colorful - Accent 3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5">
    <w:name w:val="Grid Table 7 Colorful - Accent 4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6">
    <w:name w:val="Grid Table 7 Colorful - Accent 5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7">
    <w:name w:val="Grid Table 7 Colorful - Accent 6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8">
    <w:name w:val="List Table 1 Light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9">
    <w:name w:val="List Table 1 Light - Accent 1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0">
    <w:name w:val="List Table 1 Light - Accent 2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1">
    <w:name w:val="List Table 1 Light - Accent 3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2">
    <w:name w:val="List Table 1 Light - Accent 4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3">
    <w:name w:val="List Table 1 Light - Accent 5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4">
    <w:name w:val="List Table 1 Light - Accent 6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5">
    <w:name w:val="List Table 2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6">
    <w:name w:val="List Table 2 - Accent 1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07">
    <w:name w:val="List Table 2 - Accent 2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08">
    <w:name w:val="List Table 2 - Accent 3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09">
    <w:name w:val="List Table 2 - Accent 4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10">
    <w:name w:val="List Table 2 - Accent 5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11">
    <w:name w:val="List Table 2 - Accent 6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12">
    <w:name w:val="List Table 3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3">
    <w:name w:val="List Table 3 - Accent 1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4">
    <w:name w:val="List Table 3 - Accent 2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5">
    <w:name w:val="List Table 3 - Accent 3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6">
    <w:name w:val="List Table 3 - Accent 4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7">
    <w:name w:val="List Table 3 - Accent 5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8">
    <w:name w:val="List Table 3 - Accent 6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9">
    <w:name w:val="List Table 4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0">
    <w:name w:val="List Table 4 - Accent 1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1">
    <w:name w:val="List Table 4 - Accent 2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2">
    <w:name w:val="List Table 4 - Accent 3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3">
    <w:name w:val="List Table 4 - Accent 4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4">
    <w:name w:val="List Table 4 - Accent 5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5">
    <w:name w:val="List Table 4 - Accent 6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6">
    <w:name w:val="List Table 5 Dark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27">
    <w:name w:val="List Table 5 Dark - Accent 1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28">
    <w:name w:val="List Table 5 Dark - Accent 2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29">
    <w:name w:val="List Table 5 Dark - Accent 3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30">
    <w:name w:val="List Table 5 Dark - Accent 4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31">
    <w:name w:val="List Table 5 Dark - Accent 5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32">
    <w:name w:val="List Table 5 Dark - Accent 6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33">
    <w:name w:val="List Table 6 Colorful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134">
    <w:name w:val="List Table 6 Colorful - Accent 1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135">
    <w:name w:val="List Table 6 Colorful - Accent 2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136">
    <w:name w:val="List Table 6 Colorful - Accent 3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137">
    <w:name w:val="List Table 6 Colorful - Accent 4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138">
    <w:name w:val="List Table 6 Colorful - Accent 5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139">
    <w:name w:val="List Table 6 Colorful - Accent 6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140">
    <w:name w:val="List Table 7 Colorful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141">
    <w:name w:val="List Table 7 Colorful - Accent 1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142">
    <w:name w:val="List Table 7 Colorful - Accent 2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143">
    <w:name w:val="List Table 7 Colorful - Accent 3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144">
    <w:name w:val="List Table 7 Colorful - Accent 4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145">
    <w:name w:val="List Table 7 Colorful - Accent 5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146">
    <w:name w:val="List Table 7 Colorful - Accent 6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147">
    <w:name w:val="Lined - Accent"/>
    <w:basedOn w:val="11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48">
    <w:name w:val="Lined - Accent 1"/>
    <w:basedOn w:val="11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149">
    <w:name w:val="Lined - Accent 2"/>
    <w:basedOn w:val="11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150">
    <w:name w:val="Lined - Accent 3"/>
    <w:basedOn w:val="11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151">
    <w:name w:val="Lined - Accent 4"/>
    <w:basedOn w:val="11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152">
    <w:name w:val="Lined - Accent 5"/>
    <w:basedOn w:val="11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153">
    <w:name w:val="Lined - Accent 6"/>
    <w:basedOn w:val="11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154">
    <w:name w:val="Bordered &amp; Lined - Accent"/>
    <w:basedOn w:val="11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55">
    <w:name w:val="Bordered &amp; Lined - Accent 1"/>
    <w:basedOn w:val="11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156">
    <w:name w:val="Bordered &amp; Lined - Accent 2"/>
    <w:basedOn w:val="11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157">
    <w:name w:val="Bordered &amp; Lined - Accent 3"/>
    <w:basedOn w:val="11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158">
    <w:name w:val="Bordered &amp; Lined - Accent 4"/>
    <w:basedOn w:val="11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159">
    <w:name w:val="Bordered &amp; Lined - Accent 5"/>
    <w:basedOn w:val="11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160">
    <w:name w:val="Bordered &amp; Lined - Accent 6"/>
    <w:basedOn w:val="11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161">
    <w:name w:val="Bordered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162">
    <w:name w:val="Bordered - Accent 1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163">
    <w:name w:val="Bordered - Accent 2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164">
    <w:name w:val="Bordered - Accent 3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165">
    <w:name w:val="Bordered - Accent 4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166">
    <w:name w:val="Bordered - Accent 5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167">
    <w:name w:val="Bordered - Accent 6"/>
    <w:basedOn w:val="11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168">
    <w:name w:val="Footnote Text Char"/>
    <w:link w:val="1193"/>
    <w:uiPriority w:val="99"/>
    <w:rPr>
      <w:sz w:val="18"/>
    </w:rPr>
  </w:style>
  <w:style w:type="paragraph" w:styleId="1169">
    <w:name w:val="endnote text"/>
    <w:basedOn w:val="1174"/>
    <w:link w:val="1170"/>
    <w:uiPriority w:val="99"/>
    <w:semiHidden/>
    <w:unhideWhenUsed/>
    <w:pPr>
      <w:spacing w:after="0" w:line="240" w:lineRule="auto"/>
    </w:pPr>
    <w:rPr>
      <w:sz w:val="20"/>
    </w:rPr>
  </w:style>
  <w:style w:type="character" w:styleId="1170">
    <w:name w:val="Endnote Text Char"/>
    <w:link w:val="1169"/>
    <w:uiPriority w:val="99"/>
    <w:rPr>
      <w:sz w:val="20"/>
    </w:rPr>
  </w:style>
  <w:style w:type="character" w:styleId="1171">
    <w:name w:val="endnote reference"/>
    <w:basedOn w:val="1178"/>
    <w:uiPriority w:val="99"/>
    <w:semiHidden/>
    <w:unhideWhenUsed/>
    <w:rPr>
      <w:vertAlign w:val="superscript"/>
    </w:rPr>
  </w:style>
  <w:style w:type="paragraph" w:styleId="1172">
    <w:name w:val="TOC Heading"/>
    <w:uiPriority w:val="39"/>
    <w:unhideWhenUsed/>
  </w:style>
  <w:style w:type="paragraph" w:styleId="1173">
    <w:name w:val="table of figures"/>
    <w:basedOn w:val="1174"/>
    <w:next w:val="1174"/>
    <w:uiPriority w:val="99"/>
    <w:unhideWhenUsed/>
    <w:pPr>
      <w:spacing w:after="0" w:afterAutospacing="0"/>
    </w:pPr>
  </w:style>
  <w:style w:type="paragraph" w:styleId="1174" w:default="1">
    <w:name w:val="Normal"/>
    <w:qFormat/>
  </w:style>
  <w:style w:type="paragraph" w:styleId="1175">
    <w:name w:val="Heading 1"/>
    <w:basedOn w:val="1174"/>
    <w:next w:val="1174"/>
    <w:link w:val="1226"/>
    <w:pPr>
      <w:ind w:left="1134" w:hanging="1134"/>
      <w:keepLines/>
      <w:keepNext/>
      <w:pageBreakBefore/>
      <w:spacing w:before="480" w:after="240"/>
      <w:tabs>
        <w:tab w:val="num" w:pos="1134" w:leader="none"/>
      </w:tabs>
      <w:outlineLvl w:val="0"/>
    </w:pPr>
    <w:rPr>
      <w:rFonts w:ascii="Arial" w:hAnsi="Arial" w:eastAsia="Times New Roman" w:cs="Times New Roman"/>
      <w:b/>
      <w:sz w:val="40"/>
      <w:szCs w:val="26"/>
      <w:lang w:eastAsia="ru-RU"/>
    </w:rPr>
  </w:style>
  <w:style w:type="paragraph" w:styleId="1176">
    <w:name w:val="Heading 2"/>
    <w:basedOn w:val="1174"/>
    <w:next w:val="1174"/>
    <w:link w:val="1227"/>
    <w:pPr>
      <w:ind w:left="2694" w:hanging="1134"/>
      <w:keepNext/>
      <w:spacing w:before="360" w:after="120"/>
      <w:tabs>
        <w:tab w:val="num" w:pos="2694" w:leader="none"/>
      </w:tabs>
      <w:outlineLvl w:val="1"/>
    </w:pPr>
    <w:rPr>
      <w:rFonts w:eastAsia="Times New Roman" w:cs="Times New Roman"/>
      <w:b/>
      <w:sz w:val="32"/>
      <w:szCs w:val="26"/>
      <w:lang w:eastAsia="ru-RU"/>
    </w:rPr>
  </w:style>
  <w:style w:type="paragraph" w:styleId="1177">
    <w:name w:val="Heading 3"/>
    <w:basedOn w:val="1174"/>
    <w:next w:val="1174"/>
    <w:link w:val="1228"/>
    <w:semiHidden/>
    <w:unhideWhenUsed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1178" w:default="1">
    <w:name w:val="Default Paragraph Font"/>
    <w:uiPriority w:val="1"/>
    <w:semiHidden/>
    <w:unhideWhenUsed/>
  </w:style>
  <w:style w:type="table" w:styleId="11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80" w:default="1">
    <w:name w:val="No List"/>
    <w:uiPriority w:val="99"/>
    <w:semiHidden/>
    <w:unhideWhenUsed/>
  </w:style>
  <w:style w:type="paragraph" w:styleId="1181" w:customStyle="1">
    <w:name w:val="[РГ] Раздел"/>
    <w:basedOn w:val="1174"/>
    <w:next w:val="1182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182" w:customStyle="1">
    <w:name w:val="[РГ] Подраздел"/>
    <w:basedOn w:val="1174"/>
    <w:next w:val="1183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183" w:customStyle="1">
    <w:name w:val="[РГ] Пункт"/>
    <w:basedOn w:val="1174"/>
    <w:qFormat/>
    <w:pPr>
      <w:numPr>
        <w:ilvl w:val="2"/>
        <w:numId w:val="1"/>
      </w:numPr>
      <w:jc w:val="both"/>
      <w:outlineLvl w:val="2"/>
    </w:pPr>
  </w:style>
  <w:style w:type="paragraph" w:styleId="1184" w:customStyle="1">
    <w:name w:val="[РГ] Подпункт"/>
    <w:basedOn w:val="1174"/>
    <w:qFormat/>
    <w:pPr>
      <w:numPr>
        <w:ilvl w:val="3"/>
        <w:numId w:val="1"/>
      </w:numPr>
      <w:jc w:val="both"/>
      <w:outlineLvl w:val="3"/>
    </w:pPr>
  </w:style>
  <w:style w:type="paragraph" w:styleId="1185" w:customStyle="1">
    <w:name w:val="[РГ] Перечисление"/>
    <w:basedOn w:val="1174"/>
    <w:qFormat/>
    <w:pPr>
      <w:numPr>
        <w:ilvl w:val="4"/>
        <w:numId w:val="1"/>
      </w:numPr>
      <w:jc w:val="both"/>
      <w:outlineLvl w:val="4"/>
    </w:pPr>
  </w:style>
  <w:style w:type="paragraph" w:styleId="1186" w:customStyle="1">
    <w:name w:val="[РГ] Заголовок"/>
    <w:basedOn w:val="1174"/>
    <w:next w:val="1187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187" w:customStyle="1">
    <w:name w:val="[РГ] Текст"/>
    <w:basedOn w:val="1174"/>
    <w:qFormat/>
    <w:pPr>
      <w:jc w:val="both"/>
    </w:pPr>
  </w:style>
  <w:style w:type="paragraph" w:styleId="1188">
    <w:name w:val="Header"/>
    <w:basedOn w:val="1174"/>
    <w:link w:val="1189"/>
    <w:uiPriority w:val="99"/>
    <w:unhideWhenUsed/>
    <w:pPr>
      <w:jc w:val="center"/>
      <w:spacing w:before="0" w:after="120"/>
    </w:pPr>
  </w:style>
  <w:style w:type="character" w:styleId="1189" w:customStyle="1">
    <w:name w:val="Верхний колонтитул Знак"/>
    <w:basedOn w:val="1178"/>
    <w:link w:val="1188"/>
    <w:uiPriority w:val="99"/>
  </w:style>
  <w:style w:type="paragraph" w:styleId="1190">
    <w:name w:val="Footer"/>
    <w:basedOn w:val="1174"/>
    <w:link w:val="1191"/>
    <w:unhideWhenUsed/>
    <w:pPr>
      <w:jc w:val="right"/>
    </w:pPr>
  </w:style>
  <w:style w:type="character" w:styleId="1191" w:customStyle="1">
    <w:name w:val="Нижний колонтитул Знак"/>
    <w:basedOn w:val="1178"/>
    <w:link w:val="1190"/>
    <w:uiPriority w:val="99"/>
  </w:style>
  <w:style w:type="character" w:styleId="1192" w:customStyle="1">
    <w:name w:val="[РГ] Инструкция для организатора"/>
    <w:basedOn w:val="1178"/>
    <w:uiPriority w:val="1"/>
    <w:qFormat/>
    <w:rPr>
      <w:i/>
      <w:iCs/>
      <w:shd w:val="clear" w:color="auto" w:fill="ffff99"/>
      <w:lang w:val="ru-RU"/>
    </w:rPr>
  </w:style>
  <w:style w:type="paragraph" w:styleId="1193">
    <w:name w:val="footnote text"/>
    <w:basedOn w:val="1174"/>
    <w:link w:val="1194"/>
    <w:uiPriority w:val="99"/>
    <w:semiHidden/>
    <w:unhideWhenUsed/>
    <w:pPr>
      <w:spacing w:before="0"/>
    </w:pPr>
    <w:rPr>
      <w:sz w:val="20"/>
      <w:szCs w:val="20"/>
    </w:rPr>
  </w:style>
  <w:style w:type="character" w:styleId="1194" w:customStyle="1">
    <w:name w:val="Текст сноски Знак"/>
    <w:basedOn w:val="1178"/>
    <w:link w:val="1193"/>
    <w:uiPriority w:val="99"/>
    <w:semiHidden/>
    <w:rPr>
      <w:sz w:val="20"/>
      <w:szCs w:val="20"/>
    </w:rPr>
  </w:style>
  <w:style w:type="character" w:styleId="1195">
    <w:name w:val="footnote reference"/>
    <w:basedOn w:val="1178"/>
    <w:unhideWhenUsed/>
    <w:rPr>
      <w:vertAlign w:val="superscript"/>
    </w:rPr>
  </w:style>
  <w:style w:type="paragraph" w:styleId="1196" w:customStyle="1">
    <w:name w:val="[РГ] Сноска"/>
    <w:basedOn w:val="1193"/>
    <w:qFormat/>
    <w:pPr>
      <w:ind w:left="567" w:hanging="567"/>
      <w:jc w:val="both"/>
      <w:spacing w:before="80"/>
    </w:pPr>
    <w:rPr>
      <w:sz w:val="22"/>
    </w:rPr>
  </w:style>
  <w:style w:type="character" w:styleId="1197">
    <w:name w:val="Hyperlink"/>
    <w:basedOn w:val="1178"/>
    <w:uiPriority w:val="99"/>
    <w:unhideWhenUsed/>
    <w:rPr>
      <w:color w:val="0563c1" w:themeColor="hyperlink"/>
      <w:u w:val="single"/>
    </w:rPr>
  </w:style>
  <w:style w:type="character" w:styleId="1198">
    <w:name w:val="Unresolved Mention"/>
    <w:basedOn w:val="1178"/>
    <w:uiPriority w:val="99"/>
    <w:semiHidden/>
    <w:unhideWhenUsed/>
    <w:rPr>
      <w:color w:val="605e5c"/>
      <w:shd w:val="clear" w:color="auto" w:fill="e1dfdd"/>
    </w:rPr>
  </w:style>
  <w:style w:type="paragraph" w:styleId="1199">
    <w:name w:val="toc 2"/>
    <w:basedOn w:val="1174"/>
    <w:next w:val="1174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200">
    <w:name w:val="toc 1"/>
    <w:basedOn w:val="1174"/>
    <w:next w:val="1174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201">
    <w:name w:val="toc 3"/>
    <w:basedOn w:val="1174"/>
    <w:next w:val="1174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202">
    <w:name w:val="toc 4"/>
    <w:basedOn w:val="1174"/>
    <w:next w:val="1174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203">
    <w:name w:val="toc 5"/>
    <w:basedOn w:val="1174"/>
    <w:next w:val="1174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204">
    <w:name w:val="toc 6"/>
    <w:basedOn w:val="1174"/>
    <w:next w:val="1174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205">
    <w:name w:val="toc 7"/>
    <w:basedOn w:val="1174"/>
    <w:next w:val="1174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206">
    <w:name w:val="toc 8"/>
    <w:basedOn w:val="1174"/>
    <w:next w:val="1174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207">
    <w:name w:val="toc 9"/>
    <w:basedOn w:val="1174"/>
    <w:next w:val="1174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208" w:customStyle="1">
    <w:name w:val="[РГ] Таблица"/>
    <w:basedOn w:val="1179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209">
    <w:name w:val="Table Grid"/>
    <w:basedOn w:val="1179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210">
    <w:name w:val="Placeholder Text"/>
    <w:basedOn w:val="1178"/>
    <w:uiPriority w:val="99"/>
    <w:semiHidden/>
    <w:rPr>
      <w:color w:val="808080"/>
    </w:rPr>
  </w:style>
  <w:style w:type="character" w:styleId="1211" w:customStyle="1">
    <w:name w:val="[РГ] Отсылка"/>
    <w:basedOn w:val="1178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212">
    <w:name w:val="annotation reference"/>
    <w:basedOn w:val="1178"/>
    <w:uiPriority w:val="99"/>
    <w:unhideWhenUsed/>
    <w:rPr>
      <w:sz w:val="16"/>
      <w:szCs w:val="16"/>
    </w:rPr>
  </w:style>
  <w:style w:type="paragraph" w:styleId="1213">
    <w:name w:val="annotation text"/>
    <w:basedOn w:val="1174"/>
    <w:link w:val="1214"/>
    <w:uiPriority w:val="99"/>
    <w:unhideWhenUsed/>
    <w:rPr>
      <w:sz w:val="20"/>
      <w:szCs w:val="20"/>
    </w:rPr>
  </w:style>
  <w:style w:type="character" w:styleId="1214" w:customStyle="1">
    <w:name w:val="Текст примечания Знак"/>
    <w:basedOn w:val="1178"/>
    <w:link w:val="1213"/>
    <w:uiPriority w:val="99"/>
    <w:rPr>
      <w:sz w:val="20"/>
      <w:szCs w:val="20"/>
    </w:rPr>
  </w:style>
  <w:style w:type="paragraph" w:styleId="1215">
    <w:name w:val="annotation subject"/>
    <w:basedOn w:val="1213"/>
    <w:next w:val="1213"/>
    <w:link w:val="1216"/>
    <w:uiPriority w:val="99"/>
    <w:semiHidden/>
    <w:unhideWhenUsed/>
    <w:rPr>
      <w:b/>
      <w:bCs/>
    </w:rPr>
  </w:style>
  <w:style w:type="character" w:styleId="1216" w:customStyle="1">
    <w:name w:val="Тема примечания Знак"/>
    <w:basedOn w:val="1214"/>
    <w:link w:val="1215"/>
    <w:uiPriority w:val="99"/>
    <w:semiHidden/>
    <w:rPr>
      <w:b/>
      <w:bCs/>
      <w:sz w:val="20"/>
      <w:szCs w:val="20"/>
    </w:rPr>
  </w:style>
  <w:style w:type="paragraph" w:styleId="1217" w:customStyle="1">
    <w:name w:val="[РГ] Альтернатива / Дополнение"/>
    <w:basedOn w:val="1187"/>
    <w:next w:val="1187"/>
    <w:qFormat/>
    <w:rPr>
      <w:i/>
      <w:shd w:val="clear" w:color="auto" w:fill="ccecff"/>
    </w:rPr>
  </w:style>
  <w:style w:type="character" w:styleId="1218" w:customStyle="1">
    <w:name w:val="[РГ] Инструкция для участника"/>
    <w:basedOn w:val="1178"/>
    <w:uiPriority w:val="1"/>
    <w:qFormat/>
    <w:rPr>
      <w:i/>
      <w:shd w:val="clear" w:color="auto" w:fill="d0cece" w:themeFill="background2" w:themeFillShade="E6"/>
      <w:lang w:val="ru-RU"/>
    </w:rPr>
  </w:style>
  <w:style w:type="paragraph" w:styleId="1219">
    <w:name w:val="Revision"/>
    <w:hidden/>
    <w:uiPriority w:val="99"/>
    <w:semiHidden/>
    <w:pPr>
      <w:spacing w:before="0"/>
    </w:pPr>
  </w:style>
  <w:style w:type="character" w:styleId="1220">
    <w:name w:val="FollowedHyperlink"/>
    <w:basedOn w:val="1178"/>
    <w:uiPriority w:val="99"/>
    <w:semiHidden/>
    <w:unhideWhenUsed/>
    <w:rPr>
      <w:color w:val="954f72" w:themeColor="followedHyperlink"/>
      <w:u w:val="single"/>
    </w:rPr>
  </w:style>
  <w:style w:type="paragraph" w:styleId="1221">
    <w:name w:val="List Paragraph"/>
    <w:basedOn w:val="1174"/>
    <w:uiPriority w:val="34"/>
    <w:qFormat/>
    <w:pPr>
      <w:contextualSpacing/>
      <w:ind w:left="720"/>
    </w:pPr>
  </w:style>
  <w:style w:type="paragraph" w:styleId="1222" w:customStyle="1">
    <w:name w:val="Пункт"/>
    <w:basedOn w:val="1174"/>
    <w:link w:val="1223"/>
    <w:pPr>
      <w:numPr>
        <w:ilvl w:val="2"/>
        <w:numId w:val="15"/>
      </w:numPr>
      <w:jc w:val="both"/>
    </w:pPr>
    <w:rPr>
      <w:rFonts w:eastAsia="Times New Roman" w:cs="Times New Roman"/>
      <w:szCs w:val="26"/>
      <w:lang w:eastAsia="ru-RU"/>
    </w:rPr>
  </w:style>
  <w:style w:type="character" w:styleId="1223" w:customStyle="1">
    <w:name w:val="Пункт Знак2"/>
    <w:link w:val="1222"/>
    <w:rPr>
      <w:rFonts w:eastAsia="Times New Roman" w:cs="Times New Roman"/>
      <w:szCs w:val="26"/>
      <w:lang w:eastAsia="ru-RU"/>
    </w:rPr>
  </w:style>
  <w:style w:type="paragraph" w:styleId="1224" w:customStyle="1">
    <w:name w:val="Подпункт"/>
    <w:basedOn w:val="1222"/>
    <w:pPr>
      <w:numPr>
        <w:ilvl w:val="3"/>
      </w:numPr>
      <w:ind w:left="2880" w:hanging="360"/>
      <w:tabs>
        <w:tab w:val="clear" w:pos="1134" w:leader="none"/>
      </w:tabs>
    </w:pPr>
  </w:style>
  <w:style w:type="paragraph" w:styleId="1225" w:customStyle="1">
    <w:name w:val="Подподпункт"/>
    <w:basedOn w:val="1224"/>
    <w:pPr>
      <w:numPr>
        <w:ilvl w:val="4"/>
      </w:numPr>
      <w:ind w:left="3600" w:hanging="360"/>
      <w:tabs>
        <w:tab w:val="clear" w:pos="5104" w:leader="none"/>
      </w:tabs>
    </w:pPr>
  </w:style>
  <w:style w:type="character" w:styleId="1226" w:customStyle="1">
    <w:name w:val="Заголовок 1 Знак"/>
    <w:basedOn w:val="1178"/>
    <w:link w:val="1175"/>
    <w:rPr>
      <w:rFonts w:ascii="Arial" w:hAnsi="Arial" w:eastAsia="Times New Roman" w:cs="Times New Roman"/>
      <w:b/>
      <w:sz w:val="40"/>
      <w:szCs w:val="26"/>
      <w:lang w:eastAsia="ru-RU"/>
    </w:rPr>
  </w:style>
  <w:style w:type="character" w:styleId="1227" w:customStyle="1">
    <w:name w:val="Заголовок 2 Знак"/>
    <w:basedOn w:val="1178"/>
    <w:link w:val="1176"/>
    <w:rPr>
      <w:rFonts w:eastAsia="Times New Roman" w:cs="Times New Roman"/>
      <w:b/>
      <w:sz w:val="32"/>
      <w:szCs w:val="26"/>
      <w:lang w:eastAsia="ru-RU"/>
    </w:rPr>
  </w:style>
  <w:style w:type="character" w:styleId="1228" w:customStyle="1">
    <w:name w:val="Заголовок 3 Знак"/>
    <w:basedOn w:val="1178"/>
    <w:link w:val="1177"/>
    <w:semiHidden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1229" w:customStyle="1">
    <w:name w:val="Table_header"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1230" w:customStyle="1">
    <w:name w:val="комментарий"/>
    <w:rPr>
      <w:b/>
      <w:i/>
      <w:shd w:val="clear" w:color="auto" w:fill="ffff99"/>
    </w:rPr>
  </w:style>
  <w:style w:type="paragraph" w:styleId="1231" w:customStyle="1">
    <w:name w:val="УРОВЕНЬ_Абзац_тип3"/>
    <w:qFormat/>
    <w:pPr>
      <w:numPr>
        <w:ilvl w:val="7"/>
        <w:numId w:val="0"/>
      </w:numPr>
      <w:contextualSpacing w:val="0"/>
      <w:ind w:left="0" w:right="0" w:hanging="1440"/>
      <w:jc w:val="both"/>
      <w:keepLines w:val="0"/>
      <w:keepNext w:val="0"/>
      <w:pageBreakBefore w:val="0"/>
      <w:spacing w:before="120" w:beforeAutospacing="0" w:after="0" w:afterAutospacing="0" w:line="360" w:lineRule="exact"/>
      <w:shd w:val="nil"/>
      <w:widowControl/>
      <w:tabs>
        <w:tab w:val="num" w:pos="1440" w:leader="none"/>
        <w:tab w:val="num" w:pos="288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 w:themeColor="text1"/>
      <w:spacing w:val="0"/>
      <w:position w:val="0"/>
      <w:sz w:val="26"/>
      <w:szCs w:val="28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1232" w:customStyle="1">
    <w:name w:val="УРОВЕНЬ_-"/>
    <w:qFormat/>
    <w:pPr>
      <w:numPr>
        <w:ilvl w:val="4"/>
        <w:numId w:val="0"/>
      </w:numPr>
      <w:contextualSpacing w:val="0"/>
      <w:ind w:left="3600" w:right="0" w:hanging="360"/>
      <w:jc w:val="both"/>
      <w:keepLines w:val="0"/>
      <w:keepNext w:val="0"/>
      <w:pageBreakBefore w:val="0"/>
      <w:spacing w:before="120" w:beforeAutospacing="0" w:after="0" w:afterAutospacing="0" w:line="360" w:lineRule="exact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4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 w:themeColor="text1"/>
      <w:spacing w:val="0"/>
      <w:position w:val="0"/>
      <w:sz w:val="26"/>
      <w:szCs w:val="28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1233" w:customStyle="1">
    <w:name w:val="УРОВЕНЬ_Абзац_тип2"/>
    <w:qFormat/>
    <w:pPr>
      <w:numPr>
        <w:ilvl w:val="6"/>
        <w:numId w:val="0"/>
      </w:numPr>
      <w:contextualSpacing w:val="0"/>
      <w:ind w:left="5040" w:right="0" w:hanging="360"/>
      <w:jc w:val="both"/>
      <w:keepLines w:val="0"/>
      <w:keepNext w:val="0"/>
      <w:pageBreakBefore w:val="0"/>
      <w:spacing w:before="120" w:beforeAutospacing="0" w:after="0" w:afterAutospacing="0" w:line="360" w:lineRule="exact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 w:themeColor="text1"/>
      <w:spacing w:val="0"/>
      <w:position w:val="0"/>
      <w:sz w:val="26"/>
      <w:szCs w:val="28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1234" w:customStyle="1">
    <w:name w:val="[РусГидро] Пункт"/>
    <w:qFormat/>
    <w:pPr>
      <w:numPr>
        <w:ilvl w:val="2"/>
        <w:numId w:val="0"/>
      </w:numPr>
      <w:contextualSpacing w:val="0"/>
      <w:ind w:left="72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tabs>
        <w:tab w:val="num" w:pos="36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2"/>
      <w:suppressLineNumbers w:val="0"/>
    </w:pPr>
    <w:rPr>
      <w:rFonts w:ascii="Times New Roman" w:hAnsi="Times New Roman" w:cs="Times New Roman" w:eastAsiaTheme="minorHAns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6"/>
      <w:szCs w:val="26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Relationship Id="rId13" Type="http://schemas.openxmlformats.org/officeDocument/2006/relationships/hyperlink" Target="https://corp.roseltorg.ru." TargetMode="External"/><Relationship Id="rId14" Type="http://schemas.openxmlformats.org/officeDocument/2006/relationships/hyperlink" Target="http://www.roseltorg.ru/knowledge_db/docs/documents" TargetMode="External"/><Relationship Id="rId15" Type="http://schemas.openxmlformats.org/officeDocument/2006/relationships/hyperlink" Target="mailto:dgk@dgk.ru" TargetMode="External"/><Relationship Id="rId16" Type="http://schemas.openxmlformats.org/officeDocument/2006/relationships/hyperlink" Target="http://shevchenko-ko@dgk.ru" TargetMode="External"/><Relationship Id="rId17" Type="http://schemas.openxmlformats.org/officeDocument/2006/relationships/hyperlink" Target="mailto:dgk@dgk.ru" TargetMode="External"/><Relationship Id="rId18" Type="http://schemas.openxmlformats.org/officeDocument/2006/relationships/hyperlink" Target="mailto:evstratenko-av@dgk.ru" TargetMode="External"/><Relationship Id="rId19" Type="http://schemas.openxmlformats.org/officeDocument/2006/relationships/hyperlink" Target="http://shevchenko-ko@dgk.ru" TargetMode="External"/><Relationship Id="rId20" Type="http://schemas.openxmlformats.org/officeDocument/2006/relationships/image" Target="media/image1.png"/><Relationship Id="rId21" Type="http://schemas.openxmlformats.org/officeDocument/2006/relationships/image" Target="media/media1.svg"/><Relationship Id="rId22" Type="http://schemas.openxmlformats.org/officeDocument/2006/relationships/image" Target="media/image2.png"/><Relationship Id="rId23" Type="http://schemas.openxmlformats.org/officeDocument/2006/relationships/image" Target="media/media2.svg"/><Relationship Id="rId24" Type="http://schemas.openxmlformats.org/officeDocument/2006/relationships/image" Target="media/image3.png"/><Relationship Id="rId25" Type="http://schemas.openxmlformats.org/officeDocument/2006/relationships/image" Target="media/media3.svg"/><Relationship Id="rId26" Type="http://schemas.openxmlformats.org/officeDocument/2006/relationships/image" Target="media/image4.png"/><Relationship Id="rId27" Type="http://schemas.openxmlformats.org/officeDocument/2006/relationships/hyperlink" Target="https://bo.nalog.ru" TargetMode="External"/><Relationship Id="rId28" Type="http://schemas.openxmlformats.org/officeDocument/2006/relationships/image" Target="media/image5.png"/><Relationship Id="rId29" Type="http://schemas.openxmlformats.org/officeDocument/2006/relationships/image" Target="media/media4.sv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6F002-A4A2-4A32-8A05-76E4872F0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</dc:title>
  <dc:subject>Альбом типовых форм</dc:subject>
  <dc:creator>Владимир Щербаков</dc:creator>
  <cp:keywords>Типовая форма</cp:keywords>
  <dc:description/>
  <cp:lastModifiedBy>evstratenko_av</cp:lastModifiedBy>
  <cp:revision>168</cp:revision>
  <dcterms:created xsi:type="dcterms:W3CDTF">2023-08-16T07:54:00Z</dcterms:created>
  <dcterms:modified xsi:type="dcterms:W3CDTF">2026-02-20T01:32:28Z</dcterms:modified>
</cp:coreProperties>
</file>